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四川省成都市气象局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ascii="方正小标宋简体" w:hAnsi="宋体" w:eastAsia="方正小标宋简体" w:cs="宋体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shd w:val="clear" w:color="auto" w:fill="FFFFFF"/>
        </w:rPr>
        <w:t>2022年政府信息公开工作年度报告</w:t>
      </w:r>
    </w:p>
    <w:p>
      <w:pPr>
        <w:widowControl/>
        <w:shd w:val="clear" w:color="auto" w:fill="FFFFFF"/>
        <w:rPr>
          <w:rFonts w:ascii="仿宋_GB2312" w:hAnsi="宋体" w:cs="宋体"/>
          <w:kern w:val="0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632" w:firstLineChars="200"/>
        <w:rPr>
          <w:rFonts w:ascii="仿宋_GB2312" w:hAnsi="宋体" w:cs="宋体"/>
          <w:kern w:val="0"/>
          <w:szCs w:val="32"/>
          <w:shd w:val="clear" w:color="auto" w:fill="FFFFFF"/>
        </w:rPr>
      </w:pP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本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报告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根据《中华人民共和国政府信息公开条例》（以下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简称《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条例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》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）相关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规定编制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由总体情况、主动公开、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依申请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公开、行政复议和行政诉讼情况、存在的主要问题及改进情况、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其他需要报告的事项等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六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个部分组成。数据统计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时限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为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202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2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年1月1日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至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2022年12月31日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。</w:t>
      </w:r>
    </w:p>
    <w:p>
      <w:pPr>
        <w:widowControl/>
        <w:shd w:val="clear" w:color="auto" w:fill="FFFFFF"/>
        <w:ind w:firstLine="632" w:firstLineChars="200"/>
        <w:rPr>
          <w:rFonts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一、总体情况</w:t>
      </w:r>
    </w:p>
    <w:p>
      <w:pPr>
        <w:widowControl/>
        <w:ind w:firstLine="632" w:firstLineChars="200"/>
        <w:rPr>
          <w:rFonts w:hint="eastAsia" w:ascii="仿宋_GB2312" w:hAnsi="仿宋_GB2312" w:eastAsia="仿宋_GB2312" w:cs="仿宋_GB2312"/>
          <w:kern w:val="0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Cs w:val="32"/>
          <w:shd w:val="clear" w:color="auto" w:fill="FFFFFF"/>
        </w:rPr>
        <w:t>2022年，成都市气象局政务公开工作坚持以习近平新时代</w:t>
      </w:r>
      <w:r>
        <w:rPr>
          <w:rFonts w:hint="eastAsia" w:ascii="仿宋_GB2312" w:hAnsi="仿宋_GB2312" w:eastAsia="仿宋_GB2312" w:cs="仿宋_GB2312"/>
          <w:color w:val="333333"/>
          <w:kern w:val="0"/>
          <w:szCs w:val="32"/>
        </w:rPr>
        <w:t>中国特色社会主义思想为指导，全面贯彻党的十九大</w:t>
      </w:r>
      <w:r>
        <w:rPr>
          <w:rFonts w:hint="eastAsia" w:ascii="仿宋_GB2312" w:hAnsi="仿宋_GB2312" w:cs="仿宋_GB2312"/>
          <w:color w:val="333333"/>
          <w:kern w:val="0"/>
          <w:szCs w:val="32"/>
          <w:lang w:eastAsia="zh-CN"/>
        </w:rPr>
        <w:t>及</w:t>
      </w:r>
      <w:r>
        <w:rPr>
          <w:rFonts w:hint="eastAsia" w:ascii="仿宋_GB2312" w:hAnsi="仿宋_GB2312" w:eastAsia="仿宋_GB2312" w:cs="仿宋_GB2312"/>
          <w:color w:val="333333"/>
          <w:kern w:val="0"/>
          <w:szCs w:val="32"/>
        </w:rPr>
        <w:t>历次全会</w:t>
      </w:r>
      <w:r>
        <w:rPr>
          <w:rFonts w:hint="eastAsia" w:ascii="仿宋_GB2312" w:hAnsi="仿宋_GB2312" w:cs="仿宋_GB2312"/>
          <w:color w:val="333333"/>
          <w:kern w:val="0"/>
          <w:szCs w:val="32"/>
          <w:lang w:eastAsia="zh-CN"/>
        </w:rPr>
        <w:t>和党的二十大</w:t>
      </w:r>
      <w:r>
        <w:rPr>
          <w:rFonts w:hint="eastAsia" w:ascii="仿宋_GB2312" w:hAnsi="仿宋_GB2312" w:eastAsia="仿宋_GB2312" w:cs="仿宋_GB2312"/>
          <w:color w:val="333333"/>
          <w:kern w:val="0"/>
          <w:szCs w:val="32"/>
        </w:rPr>
        <w:t>精神</w:t>
      </w:r>
      <w:r>
        <w:rPr>
          <w:rFonts w:hint="eastAsia" w:ascii="仿宋_GB2312" w:hAnsi="仿宋_GB2312" w:eastAsia="仿宋_GB2312" w:cs="仿宋_GB2312"/>
          <w:kern w:val="0"/>
          <w:szCs w:val="32"/>
          <w:shd w:val="clear" w:color="auto" w:fill="FFFFFF"/>
        </w:rPr>
        <w:t>，认真贯彻落实《中华人民共和国政府信息公开条例》《气象部门政府信息公开工作要点》，坚持以公开为常态、不公开为例外，不断提高行政办公透明度，切实提升群众获得感和满意度，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为实施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气象部门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“十四五”规划、全面建设社会主义现代化国家开好局、起好步作出气象新贡献。</w:t>
      </w:r>
    </w:p>
    <w:p>
      <w:pPr>
        <w:widowControl/>
        <w:ind w:firstLine="482"/>
        <w:rPr>
          <w:rFonts w:ascii="宋体" w:hAnsi="宋体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Cs w:val="32"/>
        </w:rPr>
        <w:t>（一）</w:t>
      </w: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加强信息公开工作</w:t>
      </w:r>
    </w:p>
    <w:p>
      <w:pPr>
        <w:widowControl/>
        <w:shd w:val="clear" w:color="auto" w:fill="FFFFFF"/>
        <w:ind w:firstLine="632" w:firstLineChars="200"/>
        <w:rPr>
          <w:rFonts w:ascii="仿宋_GB2312" w:hAnsi="宋体" w:cs="宋体"/>
          <w:kern w:val="0"/>
          <w:szCs w:val="32"/>
          <w:shd w:val="clear" w:color="auto" w:fill="FFFFFF"/>
        </w:rPr>
      </w:pPr>
      <w:r>
        <w:rPr>
          <w:rFonts w:ascii="仿宋_GB2312" w:hAnsi="宋体" w:cs="宋体"/>
          <w:kern w:val="0"/>
          <w:szCs w:val="32"/>
          <w:shd w:val="clear" w:color="auto" w:fill="FFFFFF"/>
        </w:rPr>
        <w:t>高度重视政府信息公开工作，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严格按照《中华人民共和国政府信息公开条例》要求，遵循公正、公平、合法、便民的原则，不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断健全完善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公开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信息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采集、整理、报送、审核等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制度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及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管理办法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，制定印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发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《成都市气象部门门户网站及气象新媒体管理办法》，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进一步</w:t>
      </w:r>
      <w:r>
        <w:rPr>
          <w:rFonts w:hint="eastAsia" w:ascii="仿宋_GB2312" w:hAnsi="仿宋_GB2312" w:cs="仿宋_GB2312"/>
          <w:color w:val="333333"/>
          <w:kern w:val="0"/>
          <w:szCs w:val="32"/>
        </w:rPr>
        <w:t>强化全市气象部门政府信息公开工作的组织指导，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确保信息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发布权威、及时、准确、安全</w:t>
      </w:r>
      <w:r>
        <w:rPr>
          <w:rFonts w:hint="eastAsia" w:ascii="仿宋_GB2312" w:hAnsi="仿宋_GB2312" w:cs="仿宋_GB2312"/>
          <w:color w:val="333333"/>
          <w:kern w:val="0"/>
          <w:szCs w:val="32"/>
        </w:rPr>
        <w:t>。</w:t>
      </w:r>
    </w:p>
    <w:p>
      <w:pPr>
        <w:widowControl/>
        <w:ind w:firstLine="632" w:firstLineChars="200"/>
        <w:rPr>
          <w:rFonts w:ascii="楷体_GB2312" w:hAnsi="宋体" w:eastAsia="楷体_GB2312" w:cs="宋体"/>
          <w:kern w:val="0"/>
          <w:szCs w:val="32"/>
        </w:rPr>
      </w:pPr>
      <w:r>
        <w:rPr>
          <w:rFonts w:hint="eastAsia" w:ascii="楷体_GB2312" w:hAnsi="宋体" w:eastAsia="楷体_GB2312" w:cs="宋体"/>
          <w:kern w:val="0"/>
          <w:szCs w:val="32"/>
        </w:rPr>
        <w:t>（二）夯实公开</w:t>
      </w:r>
      <w:r>
        <w:rPr>
          <w:rFonts w:ascii="楷体_GB2312" w:hAnsi="宋体" w:eastAsia="楷体_GB2312" w:cs="宋体"/>
          <w:kern w:val="0"/>
          <w:szCs w:val="32"/>
        </w:rPr>
        <w:t>主要内容</w:t>
      </w:r>
    </w:p>
    <w:p>
      <w:pPr>
        <w:widowControl/>
        <w:ind w:firstLine="632" w:firstLineChars="200"/>
        <w:rPr>
          <w:rFonts w:ascii="仿宋_GB2312" w:hAnsi="宋体" w:cs="宋体"/>
          <w:kern w:val="0"/>
          <w:szCs w:val="32"/>
          <w:shd w:val="clear" w:color="auto" w:fill="FFFFFF"/>
        </w:rPr>
      </w:pP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2022年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紧紧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围绕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全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局中心工作和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公众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对气象工作的关心关切，结合本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部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门职能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工作实际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以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优化营商环境为目标，持续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做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好政策的发布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更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新，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主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动回应存在的共性问题，进一步扩大气象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信息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覆盖面，扩大群众知情权，方便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办事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群众，提高信息公开的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质量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和实效。</w:t>
      </w:r>
    </w:p>
    <w:p>
      <w:pPr>
        <w:widowControl/>
        <w:ind w:firstLine="632" w:firstLineChars="200"/>
        <w:rPr>
          <w:rFonts w:ascii="楷体_GB2312" w:hAnsi="宋体" w:eastAsia="楷体_GB2312" w:cs="宋体"/>
          <w:kern w:val="0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kern w:val="0"/>
          <w:szCs w:val="32"/>
        </w:rPr>
        <w:t>（三）</w:t>
      </w: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畅通信息</w:t>
      </w:r>
      <w:r>
        <w:rPr>
          <w:rFonts w:ascii="楷体_GB2312" w:hAnsi="宋体" w:eastAsia="楷体_GB2312" w:cs="宋体"/>
          <w:kern w:val="0"/>
          <w:szCs w:val="32"/>
          <w:shd w:val="clear" w:color="auto" w:fill="FFFFFF"/>
        </w:rPr>
        <w:t>公开渠道</w:t>
      </w:r>
    </w:p>
    <w:p>
      <w:pPr>
        <w:widowControl/>
        <w:ind w:firstLine="632" w:firstLineChars="200"/>
        <w:rPr>
          <w:rFonts w:ascii="仿宋_GB2312" w:hAnsi="宋体" w:cs="宋体"/>
          <w:kern w:val="0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1</w:t>
      </w:r>
      <w:r>
        <w:rPr>
          <w:rFonts w:ascii="楷体_GB2312" w:hAnsi="宋体" w:eastAsia="楷体_GB2312" w:cs="宋体"/>
          <w:kern w:val="0"/>
          <w:szCs w:val="32"/>
          <w:shd w:val="clear" w:color="auto" w:fill="FFFFFF"/>
        </w:rPr>
        <w:t>.</w:t>
      </w: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互联网</w:t>
      </w:r>
      <w:r>
        <w:rPr>
          <w:rFonts w:ascii="楷体_GB2312" w:hAnsi="宋体" w:eastAsia="楷体_GB2312" w:cs="宋体"/>
          <w:kern w:val="0"/>
          <w:szCs w:val="32"/>
          <w:shd w:val="clear" w:color="auto" w:fill="FFFFFF"/>
        </w:rPr>
        <w:t>。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2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022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年，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通过“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成都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气象”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门户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网站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主动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公开政府信息70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余条，对外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发布预警服务短信2306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万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余条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，运用“成都气象”官方微信、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微博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发布气象服务信息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6540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余条，总阅读量超9797万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次，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结合天气热点和防灾减灾需求，原创气象科普产品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140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余期，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累计阅读量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超600万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次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。</w:t>
      </w:r>
    </w:p>
    <w:p>
      <w:pPr>
        <w:widowControl/>
        <w:ind w:firstLine="632" w:firstLineChars="200"/>
        <w:rPr>
          <w:rFonts w:ascii="楷体_GB2312" w:hAnsi="宋体" w:eastAsia="楷体_GB2312" w:cs="宋体"/>
          <w:kern w:val="0"/>
          <w:szCs w:val="32"/>
          <w:shd w:val="clear" w:color="auto" w:fill="FFFFFF"/>
        </w:rPr>
      </w:pP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2</w:t>
      </w:r>
      <w:r>
        <w:rPr>
          <w:rFonts w:ascii="楷体_GB2312" w:hAnsi="宋体" w:eastAsia="楷体_GB2312" w:cs="宋体"/>
          <w:kern w:val="0"/>
          <w:szCs w:val="32"/>
          <w:shd w:val="clear" w:color="auto" w:fill="FFFFFF"/>
        </w:rPr>
        <w:t>.新闻媒体</w:t>
      </w: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。加强</w:t>
      </w:r>
      <w:r>
        <w:rPr>
          <w:rFonts w:ascii="楷体_GB2312" w:hAnsi="宋体" w:eastAsia="楷体_GB2312" w:cs="宋体"/>
          <w:kern w:val="0"/>
          <w:szCs w:val="32"/>
          <w:shd w:val="clear" w:color="auto" w:fill="FFFFFF"/>
        </w:rPr>
        <w:t>与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成都日报、成都商报、成都发布等本地主流媒体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的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合作联动和舆论引导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及时向社会公众广泛发布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实时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气象信息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、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灾害性天气预报预警和气象热点事件信息。</w:t>
      </w:r>
    </w:p>
    <w:p>
      <w:pPr>
        <w:ind w:firstLine="632" w:firstLineChars="200"/>
        <w:rPr>
          <w:rFonts w:ascii="仿宋_GB2312" w:hAnsi="黑体"/>
          <w:bCs/>
          <w:snapToGrid w:val="0"/>
          <w:kern w:val="0"/>
          <w:szCs w:val="32"/>
        </w:rPr>
      </w:pPr>
      <w:r>
        <w:rPr>
          <w:rFonts w:hint="eastAsia" w:ascii="楷体_GB2312" w:hAnsi="宋体" w:eastAsia="楷体_GB2312" w:cs="宋体"/>
          <w:kern w:val="0"/>
          <w:szCs w:val="32"/>
          <w:shd w:val="clear" w:color="auto" w:fill="FFFFFF"/>
        </w:rPr>
        <w:t>3.其他公开</w:t>
      </w:r>
      <w:r>
        <w:rPr>
          <w:rFonts w:ascii="楷体_GB2312" w:hAnsi="宋体" w:eastAsia="楷体_GB2312" w:cs="宋体"/>
          <w:kern w:val="0"/>
          <w:szCs w:val="32"/>
          <w:shd w:val="clear" w:color="auto" w:fill="FFFFFF"/>
        </w:rPr>
        <w:t>方式。</w:t>
      </w:r>
      <w:r>
        <w:rPr>
          <w:rFonts w:hint="eastAsia" w:ascii="仿宋_GB2312" w:hAnsi="黑体"/>
          <w:bCs/>
          <w:snapToGrid w:val="0"/>
          <w:kern w:val="0"/>
          <w:szCs w:val="32"/>
        </w:rPr>
        <w:t>深化公共气象服务宣传实效，利用“3.23世界</w:t>
      </w:r>
      <w:r>
        <w:rPr>
          <w:rFonts w:ascii="仿宋_GB2312" w:hAnsi="黑体"/>
          <w:bCs/>
          <w:snapToGrid w:val="0"/>
          <w:kern w:val="0"/>
          <w:szCs w:val="32"/>
        </w:rPr>
        <w:t>气象日</w:t>
      </w:r>
      <w:r>
        <w:rPr>
          <w:rFonts w:hint="eastAsia" w:ascii="仿宋_GB2312" w:hAnsi="黑体"/>
          <w:bCs/>
          <w:snapToGrid w:val="0"/>
          <w:kern w:val="0"/>
          <w:szCs w:val="32"/>
        </w:rPr>
        <w:t>”“5.12防灾减灾</w:t>
      </w:r>
      <w:r>
        <w:rPr>
          <w:rFonts w:ascii="仿宋_GB2312" w:hAnsi="黑体"/>
          <w:bCs/>
          <w:snapToGrid w:val="0"/>
          <w:kern w:val="0"/>
          <w:szCs w:val="32"/>
        </w:rPr>
        <w:t>日</w:t>
      </w:r>
      <w:r>
        <w:rPr>
          <w:rFonts w:hint="eastAsia" w:ascii="仿宋_GB2312" w:hAnsi="黑体"/>
          <w:bCs/>
          <w:snapToGrid w:val="0"/>
          <w:kern w:val="0"/>
          <w:szCs w:val="32"/>
        </w:rPr>
        <w:t>”、</w:t>
      </w:r>
      <w:r>
        <w:rPr>
          <w:rFonts w:hint="eastAsia" w:ascii="仿宋_GB2312" w:hAnsi="黑体"/>
          <w:bCs/>
          <w:snapToGrid w:val="0"/>
          <w:kern w:val="0"/>
          <w:szCs w:val="32"/>
          <w:lang w:eastAsia="zh-CN"/>
        </w:rPr>
        <w:t>“</w:t>
      </w:r>
      <w:r>
        <w:rPr>
          <w:rFonts w:hint="eastAsia" w:ascii="仿宋_GB2312" w:hAnsi="黑体"/>
          <w:bCs/>
          <w:snapToGrid w:val="0"/>
          <w:kern w:val="0"/>
          <w:szCs w:val="32"/>
          <w:lang w:val="en-US" w:eastAsia="zh-CN"/>
        </w:rPr>
        <w:t>12.4宪法宣传周</w:t>
      </w:r>
      <w:r>
        <w:rPr>
          <w:rFonts w:hint="eastAsia" w:ascii="仿宋_GB2312" w:hAnsi="黑体"/>
          <w:bCs/>
          <w:snapToGrid w:val="0"/>
          <w:kern w:val="0"/>
          <w:szCs w:val="32"/>
          <w:lang w:eastAsia="zh-CN"/>
        </w:rPr>
        <w:t>”</w:t>
      </w:r>
      <w:r>
        <w:rPr>
          <w:rFonts w:hint="eastAsia" w:ascii="仿宋_GB2312" w:hAnsi="黑体"/>
          <w:bCs/>
          <w:snapToGrid w:val="0"/>
          <w:kern w:val="0"/>
          <w:szCs w:val="32"/>
        </w:rPr>
        <w:t>“</w:t>
      </w:r>
      <w:r>
        <w:rPr>
          <w:rFonts w:hint="eastAsia"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千乡万村气象</w:t>
      </w:r>
      <w:r>
        <w:rPr>
          <w:rFonts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科普</w:t>
      </w:r>
      <w:r>
        <w:rPr>
          <w:rFonts w:hint="eastAsia"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行</w:t>
      </w:r>
      <w:r>
        <w:rPr>
          <w:rFonts w:hint="eastAsia" w:ascii="仿宋_GB2312" w:hAnsi="黑体"/>
          <w:bCs/>
          <w:snapToGrid w:val="0"/>
          <w:kern w:val="0"/>
          <w:szCs w:val="32"/>
        </w:rPr>
        <w:t>”</w:t>
      </w:r>
      <w:r>
        <w:rPr>
          <w:rFonts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线上线下气象科普宣传活动</w:t>
      </w:r>
      <w:r>
        <w:rPr>
          <w:rFonts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30</w:t>
      </w:r>
      <w:r>
        <w:rPr>
          <w:rFonts w:hint="eastAsia"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余场，解读气象知识，向</w:t>
      </w:r>
      <w:r>
        <w:rPr>
          <w:rFonts w:ascii="仿宋_GB2312" w:hAnsi="黑体"/>
          <w:bCs/>
          <w:snapToGrid w:val="0"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ascii="仿宋_GB2312" w:hAnsi="黑体"/>
          <w:bCs/>
          <w:snapToGrid w:val="0"/>
          <w:kern w:val="0"/>
          <w:szCs w:val="32"/>
        </w:rPr>
        <w:t>众进行</w:t>
      </w:r>
      <w:r>
        <w:rPr>
          <w:rFonts w:hint="eastAsia" w:ascii="仿宋_GB2312" w:hAnsi="黑体"/>
          <w:bCs/>
          <w:snapToGrid w:val="0"/>
          <w:kern w:val="0"/>
          <w:szCs w:val="32"/>
        </w:rPr>
        <w:t>气象</w:t>
      </w:r>
      <w:r>
        <w:rPr>
          <w:rFonts w:ascii="仿宋_GB2312" w:hAnsi="黑体"/>
          <w:bCs/>
          <w:snapToGrid w:val="0"/>
          <w:kern w:val="0"/>
          <w:szCs w:val="32"/>
        </w:rPr>
        <w:t>法律法规、气象防灾减灾知识宣传</w:t>
      </w:r>
      <w:r>
        <w:rPr>
          <w:rFonts w:hint="eastAsia" w:ascii="仿宋_GB2312" w:hAnsi="黑体"/>
          <w:bCs/>
          <w:snapToGrid w:val="0"/>
          <w:kern w:val="0"/>
          <w:szCs w:val="32"/>
        </w:rPr>
        <w:t>，</w:t>
      </w:r>
      <w:r>
        <w:rPr>
          <w:rFonts w:ascii="仿宋_GB2312" w:hAnsi="黑体"/>
          <w:bCs/>
          <w:snapToGrid w:val="0"/>
          <w:kern w:val="0"/>
          <w:szCs w:val="32"/>
        </w:rPr>
        <w:t>普及人</w:t>
      </w:r>
      <w:r>
        <w:rPr>
          <w:rFonts w:hint="eastAsia" w:ascii="仿宋_GB2312" w:hAnsi="黑体"/>
          <w:bCs/>
          <w:snapToGrid w:val="0"/>
          <w:kern w:val="0"/>
          <w:szCs w:val="32"/>
        </w:rPr>
        <w:t>数</w:t>
      </w:r>
      <w:r>
        <w:rPr>
          <w:rFonts w:ascii="仿宋_GB2312" w:hAnsi="黑体"/>
          <w:bCs/>
          <w:snapToGrid w:val="0"/>
          <w:kern w:val="0"/>
          <w:szCs w:val="32"/>
        </w:rPr>
        <w:t>超</w:t>
      </w:r>
      <w:r>
        <w:rPr>
          <w:rFonts w:hint="eastAsia" w:ascii="仿宋_GB2312" w:hAnsi="黑体"/>
          <w:bCs/>
          <w:snapToGrid w:val="0"/>
          <w:kern w:val="0"/>
          <w:szCs w:val="32"/>
          <w:lang w:val="en-US" w:eastAsia="zh-CN"/>
        </w:rPr>
        <w:t>3000</w:t>
      </w:r>
      <w:r>
        <w:rPr>
          <w:rFonts w:hint="eastAsia" w:ascii="仿宋_GB2312" w:hAnsi="黑体"/>
          <w:bCs/>
          <w:snapToGrid w:val="0"/>
          <w:kern w:val="0"/>
          <w:szCs w:val="32"/>
        </w:rPr>
        <w:t>余人。</w:t>
      </w:r>
    </w:p>
    <w:p>
      <w:pPr>
        <w:widowControl/>
        <w:shd w:val="clear" w:color="auto" w:fill="FFFFFF"/>
        <w:ind w:firstLine="480"/>
        <w:rPr>
          <w:rFonts w:ascii="黑体" w:hAnsi="黑体" w:eastAsia="黑体" w:cs="宋体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Cs w:val="32"/>
          <w:shd w:val="clear" w:color="auto" w:fill="FFFFFF"/>
        </w:rPr>
        <w:t>二、主动公开政府信息情况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制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发件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现行有效件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  <w:bookmarkStart w:id="3" w:name="_GoBack"/>
            <w:bookmarkEnd w:id="3"/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cs="宋体"/>
                <w:kern w:val="0"/>
                <w:sz w:val="28"/>
                <w:szCs w:val="28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0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ind w:firstLine="632" w:firstLineChars="200"/>
        <w:jc w:val="left"/>
        <w:rPr>
          <w:rFonts w:ascii="黑体" w:hAnsi="黑体" w:eastAsia="黑体" w:cs="宋体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Cs w:val="32"/>
          <w:shd w:val="clear" w:color="auto" w:fill="FFFFFF"/>
        </w:rPr>
        <w:t>三、收到和处理政府信息公开申请情况</w:t>
      </w:r>
    </w:p>
    <w:p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2022年度，未接收到书面或其他形式要求公开政府信息申请。</w:t>
      </w: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商业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4"/>
                <w:szCs w:val="24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黑体" w:hAnsi="黑体" w:eastAsia="黑体" w:cs="宋体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Cs w:val="32"/>
          <w:shd w:val="clear" w:color="auto" w:fill="FFFFFF"/>
        </w:rPr>
        <w:t xml:space="preserve">    四、政府信息公开行政复议、行政诉讼情况</w:t>
      </w:r>
    </w:p>
    <w:p>
      <w:pPr>
        <w:widowControl/>
        <w:shd w:val="clear" w:color="auto" w:fill="FFFFFF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2022年度，未发生因信息公开而申请复议或提起行政诉讼的事件。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tbl>
      <w:tblPr>
        <w:tblStyle w:val="7"/>
        <w:tblW w:w="974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ind w:firstLine="632" w:firstLineChars="200"/>
        <w:jc w:val="left"/>
        <w:rPr>
          <w:rFonts w:ascii="黑体" w:hAnsi="黑体" w:eastAsia="黑体" w:cs="宋体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Cs w:val="32"/>
          <w:shd w:val="clear" w:color="auto" w:fill="FFFFFF"/>
        </w:rPr>
        <w:t>五、存在的主要问题及改进情况</w:t>
      </w:r>
    </w:p>
    <w:p>
      <w:pPr>
        <w:ind w:firstLine="632" w:firstLineChars="200"/>
        <w:rPr>
          <w:rFonts w:hint="eastAsia" w:ascii="仿宋_GB2312" w:hAnsi="宋体" w:eastAsia="仿宋_GB2312" w:cs="宋体"/>
          <w:color w:val="0000FF"/>
          <w:kern w:val="0"/>
          <w:szCs w:val="32"/>
          <w:shd w:val="clear" w:color="auto" w:fill="FFFFFF"/>
          <w:lang w:eastAsia="zh-CN"/>
        </w:rPr>
      </w:pPr>
      <w:r>
        <w:rPr>
          <w:rFonts w:ascii="仿宋_GB2312" w:hAnsi="宋体" w:cs="宋体"/>
          <w:kern w:val="0"/>
          <w:szCs w:val="32"/>
          <w:shd w:val="clear" w:color="auto" w:fill="FFFFFF"/>
        </w:rPr>
        <w:t>2022年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成都市气象局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政府信息公开工作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全面完成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取得一定的进步，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但仍存在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一些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不足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之处需进一步完善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。一是信息公开工作质量还需进一步提升，二是信息公开的及时性和全面性还有进一步提高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。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val="en-US" w:eastAsia="zh-CN"/>
        </w:rPr>
        <w:t>2023年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成都市气象局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将严格对照《中华人民共和国政府信息公开条例》等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工作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要求，紧密结合实际情况，从以下几个方面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加以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改进工作：一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是提高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思想认识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，将政府信息公开工作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作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为树立良好气象部门形象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的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重要形式和有效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方法，进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一步扩大公开范围和方式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，切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实做好政府信息公开工作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；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二是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强化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学习培训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增强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信息公开工作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人员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业务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能力和水平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，进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一步提升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信息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质量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和保密意识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；三是不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断完善</w:t>
      </w:r>
      <w:r>
        <w:rPr>
          <w:rFonts w:hint="eastAsia" w:ascii="仿宋_GB2312" w:hAnsi="宋体" w:cs="宋体"/>
          <w:kern w:val="0"/>
          <w:szCs w:val="32"/>
          <w:shd w:val="clear" w:color="auto" w:fill="FFFFFF"/>
        </w:rPr>
        <w:t>工</w:t>
      </w:r>
      <w:r>
        <w:rPr>
          <w:rFonts w:ascii="仿宋_GB2312" w:hAnsi="宋体" w:cs="宋体"/>
          <w:kern w:val="0"/>
          <w:szCs w:val="32"/>
          <w:shd w:val="clear" w:color="auto" w:fill="FFFFFF"/>
        </w:rPr>
        <w:t>作机制，</w:t>
      </w:r>
      <w:r>
        <w:rPr>
          <w:rFonts w:hint="eastAsia" w:ascii="仿宋_GB2312" w:hAnsi="宋体" w:cs="宋体"/>
          <w:kern w:val="0"/>
          <w:szCs w:val="32"/>
          <w:shd w:val="clear" w:color="auto" w:fill="FFFFFF"/>
          <w:lang w:eastAsia="zh-CN"/>
        </w:rPr>
        <w:t>相关部门形成工作合力，进一步提升信息公开工作的及时性和全面性。</w:t>
      </w:r>
    </w:p>
    <w:p>
      <w:pPr>
        <w:widowControl/>
        <w:ind w:firstLine="632" w:firstLineChars="200"/>
        <w:jc w:val="left"/>
        <w:rPr>
          <w:rFonts w:ascii="黑体" w:hAnsi="黑体" w:eastAsia="黑体" w:cs="宋体"/>
          <w:kern w:val="0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kern w:val="0"/>
          <w:szCs w:val="32"/>
          <w:shd w:val="clear" w:color="auto" w:fill="FFFFFF"/>
        </w:rPr>
        <w:t>六、其他需要报告的事项</w:t>
      </w:r>
    </w:p>
    <w:p>
      <w:pPr>
        <w:widowControl/>
        <w:ind w:firstLine="632" w:firstLineChars="200"/>
        <w:jc w:val="left"/>
        <w:rPr>
          <w:rFonts w:ascii="Arial" w:hAnsi="Arial" w:cs="Arial"/>
          <w:kern w:val="0"/>
          <w:sz w:val="24"/>
        </w:rPr>
      </w:pPr>
      <w:r>
        <w:rPr>
          <w:rFonts w:hint="eastAsia" w:ascii="仿宋_GB2312" w:hAnsi="Calibri"/>
          <w:szCs w:val="32"/>
        </w:rPr>
        <w:t>无其他</w:t>
      </w:r>
      <w:r>
        <w:rPr>
          <w:rFonts w:ascii="仿宋_GB2312" w:hAnsi="Calibri"/>
          <w:szCs w:val="32"/>
        </w:rPr>
        <w:t>需要</w:t>
      </w:r>
      <w:r>
        <w:rPr>
          <w:rFonts w:hint="eastAsia" w:ascii="仿宋_GB2312" w:hAnsi="Calibri"/>
          <w:szCs w:val="32"/>
        </w:rPr>
        <w:t>报告</w:t>
      </w:r>
      <w:r>
        <w:rPr>
          <w:rFonts w:ascii="仿宋_GB2312" w:hAnsi="Calibri"/>
          <w:szCs w:val="32"/>
        </w:rPr>
        <w:t>的事项。</w:t>
      </w:r>
      <w:bookmarkStart w:id="0" w:name="附件名称"/>
      <w:bookmarkEnd w:id="0"/>
      <w:bookmarkStart w:id="1" w:name="附件"/>
      <w:bookmarkEnd w:id="1"/>
      <w:r>
        <w:rPr>
          <w:rFonts w:ascii="仿宋_GB2312"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182880</wp:posOffset>
                </wp:positionH>
                <wp:positionV relativeFrom="page">
                  <wp:posOffset>9044305</wp:posOffset>
                </wp:positionV>
                <wp:extent cx="5321935" cy="332105"/>
                <wp:effectExtent l="2540" t="0" r="0" b="0"/>
                <wp:wrapTopAndBottom/>
                <wp:docPr id="1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x="0" y="0"/>
                          <a:ext cx="5321935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spacing w:line="440" w:lineRule="exact"/>
                              <w:ind w:left="843" w:leftChars="1" w:hanging="840" w:hangingChars="300"/>
                              <w:rPr>
                                <w:rFonts w:ascii="仿宋_GB2312"/>
                                <w:sz w:val="28"/>
                                <w:szCs w:val="28"/>
                              </w:rPr>
                            </w:pPr>
                            <w:bookmarkStart w:id="2" w:name="是否公开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false" upright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14.4pt;margin-top:712.15pt;height:26.15pt;width:419.05pt;mso-position-horizontal-relative:margin;mso-position-vertical-relative:page;mso-wrap-distance-bottom:0pt;mso-wrap-distance-top:0pt;z-index:251658240;mso-width-relative:page;mso-height-relative:page;" filled="f" stroked="f" coordsize="21600,21600" o:gfxdata="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/NMXx2QAAAAwBAAAPAAAAAAAAAAEA&#10;IAAAADgAAABkcnMvZG93bnJldi54bWxQSwECFAAUAAAACACHTuJAvIzlDfgBAADEAwAADgAAAAAA&#10;AAABACAAAAA+AQAAZHJzL2Uyb0RvYy54bWxQSwUGAAAAAAYABgBZAQAAq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napToGrid w:val="0"/>
                        <w:spacing w:line="440" w:lineRule="exact"/>
                        <w:ind w:left="843" w:leftChars="1" w:hanging="840" w:hangingChars="300"/>
                        <w:rPr>
                          <w:rFonts w:ascii="仿宋_GB2312"/>
                          <w:sz w:val="28"/>
                          <w:szCs w:val="28"/>
                        </w:rPr>
                      </w:pPr>
                      <w:bookmarkStart w:id="2" w:name="是否公开"/>
                      <w:bookmarkEnd w:id="2"/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>
      <w:headerReference r:id="rId7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38" w:right="1531" w:bottom="1132" w:left="1531" w:header="851" w:footer="1491" w:gutter="0"/>
      <w:pgNumType w:chapSep="emDash"/>
      <w:cols w:space="720" w:num="1"/>
      <w:titlePg/>
      <w:docGrid w:type="linesAndChars" w:linePitch="616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20" w:wrap="around" w:vAnchor="text" w:hAnchor="page" w:x="8681" w:y="178"/>
      <w:ind w:left="340"/>
      <w:rPr>
        <w:rStyle w:val="10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5"/>
      <w:ind w:right="360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620" w:wrap="around" w:vAnchor="text" w:hAnchor="page" w:x="1581" w:y="218"/>
      <w:spacing w:line="280" w:lineRule="exact"/>
      <w:ind w:left="340"/>
      <w:rPr>
        <w:rStyle w:val="10"/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rFonts w:ascii="宋体" w:hAnsi="宋体" w:eastAsia="宋体"/>
        <w:sz w:val="28"/>
      </w:rPr>
      <w:fldChar w:fldCharType="begin"/>
    </w:r>
    <w:r>
      <w:rPr>
        <w:rStyle w:val="10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10"/>
        <w:rFonts w:ascii="宋体" w:hAnsi="宋体" w:eastAsia="宋体"/>
        <w:sz w:val="28"/>
      </w:rPr>
      <w:t>2</w:t>
    </w:r>
    <w:r>
      <w:rPr>
        <w:rFonts w:ascii="宋体" w:hAnsi="宋体" w:eastAsia="宋体"/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  <w:p>
    <w:pPr>
      <w:pStyle w:val="5"/>
      <w:tabs>
        <w:tab w:val="right" w:pos="8460"/>
        <w:tab w:val="clear" w:pos="8306"/>
      </w:tabs>
      <w:ind w:right="212"/>
      <w:jc w:val="right"/>
      <w:rPr>
        <w:rFonts w:ascii="仿宋_GB2312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formatting="1" w:enforcement="0"/>
  <w:defaultTabStop w:val="420"/>
  <w:evenAndOddHeaders w:val="true"/>
  <w:drawingGridHorizontalSpacing w:val="158"/>
  <w:drawingGridVerticalSpacing w:val="308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57"/>
    <w:rsid w:val="00052E79"/>
    <w:rsid w:val="00054417"/>
    <w:rsid w:val="00063664"/>
    <w:rsid w:val="00072DA5"/>
    <w:rsid w:val="00080FAD"/>
    <w:rsid w:val="000910DF"/>
    <w:rsid w:val="00097149"/>
    <w:rsid w:val="000A7BD4"/>
    <w:rsid w:val="000B29B6"/>
    <w:rsid w:val="000B6AF2"/>
    <w:rsid w:val="000C5776"/>
    <w:rsid w:val="000E078C"/>
    <w:rsid w:val="00132CC6"/>
    <w:rsid w:val="00153FC1"/>
    <w:rsid w:val="00175A41"/>
    <w:rsid w:val="00175EA9"/>
    <w:rsid w:val="001D261C"/>
    <w:rsid w:val="00232BF1"/>
    <w:rsid w:val="00243435"/>
    <w:rsid w:val="00263B70"/>
    <w:rsid w:val="00291612"/>
    <w:rsid w:val="002B29C8"/>
    <w:rsid w:val="002C5C55"/>
    <w:rsid w:val="002E38C6"/>
    <w:rsid w:val="00336FB5"/>
    <w:rsid w:val="003762D6"/>
    <w:rsid w:val="003C32F2"/>
    <w:rsid w:val="003D701B"/>
    <w:rsid w:val="00400B64"/>
    <w:rsid w:val="004204C8"/>
    <w:rsid w:val="0042787C"/>
    <w:rsid w:val="0045202D"/>
    <w:rsid w:val="0047639B"/>
    <w:rsid w:val="004E592F"/>
    <w:rsid w:val="00521CD7"/>
    <w:rsid w:val="00585C42"/>
    <w:rsid w:val="005A71CC"/>
    <w:rsid w:val="005B2A5B"/>
    <w:rsid w:val="005C0D4C"/>
    <w:rsid w:val="005D2D69"/>
    <w:rsid w:val="005E24B5"/>
    <w:rsid w:val="005E2D1E"/>
    <w:rsid w:val="005F408D"/>
    <w:rsid w:val="00613C1E"/>
    <w:rsid w:val="0063261F"/>
    <w:rsid w:val="006356B9"/>
    <w:rsid w:val="00687FA5"/>
    <w:rsid w:val="006A2062"/>
    <w:rsid w:val="006B003E"/>
    <w:rsid w:val="006D7EAE"/>
    <w:rsid w:val="007539C4"/>
    <w:rsid w:val="007C12DD"/>
    <w:rsid w:val="007D4C7C"/>
    <w:rsid w:val="007D6E8E"/>
    <w:rsid w:val="007F1C9D"/>
    <w:rsid w:val="0083719C"/>
    <w:rsid w:val="00841AEA"/>
    <w:rsid w:val="008E15D9"/>
    <w:rsid w:val="009274B6"/>
    <w:rsid w:val="00951B49"/>
    <w:rsid w:val="00966757"/>
    <w:rsid w:val="009872A7"/>
    <w:rsid w:val="009C62BE"/>
    <w:rsid w:val="009D5287"/>
    <w:rsid w:val="009E068E"/>
    <w:rsid w:val="00A02058"/>
    <w:rsid w:val="00A44702"/>
    <w:rsid w:val="00AB0BDA"/>
    <w:rsid w:val="00AC32AC"/>
    <w:rsid w:val="00AC5FD4"/>
    <w:rsid w:val="00AD2F1B"/>
    <w:rsid w:val="00AD5104"/>
    <w:rsid w:val="00B02453"/>
    <w:rsid w:val="00B12690"/>
    <w:rsid w:val="00BB0965"/>
    <w:rsid w:val="00BB1238"/>
    <w:rsid w:val="00BB243C"/>
    <w:rsid w:val="00C560BD"/>
    <w:rsid w:val="00C67B88"/>
    <w:rsid w:val="00C72BB8"/>
    <w:rsid w:val="00CF2B88"/>
    <w:rsid w:val="00CF5121"/>
    <w:rsid w:val="00D12F57"/>
    <w:rsid w:val="00D82D64"/>
    <w:rsid w:val="00D92410"/>
    <w:rsid w:val="00D94DFA"/>
    <w:rsid w:val="00DB1203"/>
    <w:rsid w:val="00DB7C3E"/>
    <w:rsid w:val="00E035E9"/>
    <w:rsid w:val="00E84304"/>
    <w:rsid w:val="00E870CA"/>
    <w:rsid w:val="00EC0609"/>
    <w:rsid w:val="00F62168"/>
    <w:rsid w:val="00F947CB"/>
    <w:rsid w:val="00FA4A91"/>
    <w:rsid w:val="00FF0074"/>
    <w:rsid w:val="11CF2334"/>
    <w:rsid w:val="14D94742"/>
    <w:rsid w:val="1FE4259C"/>
    <w:rsid w:val="3DBF749B"/>
    <w:rsid w:val="4E5A64DD"/>
    <w:rsid w:val="54DC3EED"/>
    <w:rsid w:val="5CA72BC2"/>
    <w:rsid w:val="7A9E469B"/>
    <w:rsid w:val="7D89052E"/>
    <w:rsid w:val="9FFFF89E"/>
    <w:rsid w:val="CD6775C3"/>
    <w:rsid w:val="FEB6E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qFormat/>
    <w:uiPriority w:val="0"/>
    <w:rPr>
      <w:rFonts w:ascii="仿宋_GB231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spacing w:line="560" w:lineRule="exact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line number"/>
    <w:basedOn w:val="9"/>
    <w:qFormat/>
    <w:uiPriority w:val="0"/>
  </w:style>
  <w:style w:type="paragraph" w:customStyle="1" w:styleId="12">
    <w:name w:val="Char Char Char Char"/>
    <w:basedOn w:val="2"/>
    <w:qFormat/>
    <w:uiPriority w:val="0"/>
    <w:pPr>
      <w:spacing w:line="240" w:lineRule="auto"/>
    </w:pPr>
    <w:rPr>
      <w:rFonts w:ascii="Tahoma" w:hAnsi="Tahoma" w:eastAsia="宋体" w:cs="Tahoma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qixiangju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Pages>6</Pages>
  <Words>392</Words>
  <Characters>2241</Characters>
  <Lines>18</Lines>
  <Paragraphs>5</Paragraphs>
  <TotalTime>1</TotalTime>
  <ScaleCrop>false</ScaleCrop>
  <LinksUpToDate>false</LinksUpToDate>
  <CharactersWithSpaces>2628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2021-03-04T08:07:00Z</dcterms:created>
  <dc:creator>admin</dc:creator>
  <cp:lastModifiedBy>刘亚丽:部门核签</cp:lastModifiedBy>
  <cp:lastPrinted>2012-08-30T03:54:00Z</cp:lastPrinted>
  <dcterms:modified xsi:type="dcterms:W3CDTF">2023-01-09T13:55:14Z</dcterms:modified>
  <dc:title>气发〔2001〕×号</dc:title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