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pPr>
      <w:r>
        <w:rPr>
          <w:rFonts w:ascii="微软雅黑" w:hAnsi="微软雅黑" w:eastAsia="微软雅黑" w:cs="微软雅黑"/>
          <w:color w:val="000000"/>
          <w:bdr w:val="none" w:color="auto" w:sz="0" w:space="0"/>
          <w:shd w:val="clear" w:fill="FFFFFF"/>
        </w:rPr>
        <w:t>四川省气象局 2020年部门预算编制说明及公开报表</w:t>
      </w:r>
    </w:p>
    <w:p>
      <w:pPr>
        <w:keepNext w:val="0"/>
        <w:keepLines w:val="0"/>
        <w:widowControl/>
        <w:suppressLineNumbers w:val="0"/>
        <w:pBdr>
          <w:top w:val="none" w:color="auto" w:sz="0" w:space="0"/>
          <w:left w:val="none" w:color="auto" w:sz="0" w:space="0"/>
          <w:bottom w:val="single" w:color="4989C6" w:sz="6" w:space="0"/>
          <w:right w:val="none" w:color="auto" w:sz="0" w:space="0"/>
        </w:pBdr>
        <w:shd w:val="clear" w:fill="FFFFFF"/>
        <w:spacing w:before="300" w:beforeAutospacing="0" w:after="300" w:afterAutospacing="0"/>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999999"/>
          <w:kern w:val="0"/>
          <w:sz w:val="21"/>
          <w:szCs w:val="21"/>
          <w:bdr w:val="none" w:color="auto" w:sz="0" w:space="0"/>
          <w:shd w:val="clear" w:fill="FFFFFF"/>
          <w:lang w:val="en-US" w:eastAsia="zh-CN" w:bidi="ar"/>
        </w:rPr>
        <w:t>日期：2020年06月21日</w:t>
      </w:r>
      <w:r>
        <w:rPr>
          <w:rFonts w:hint="eastAsia" w:ascii="微软雅黑" w:hAnsi="微软雅黑" w:eastAsia="微软雅黑" w:cs="微软雅黑"/>
          <w:color w:val="000000"/>
          <w:kern w:val="0"/>
          <w:sz w:val="24"/>
          <w:szCs w:val="24"/>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kern w:val="0"/>
          <w:sz w:val="24"/>
          <w:szCs w:val="24"/>
          <w:bdr w:val="none" w:color="auto" w:sz="0" w:space="0"/>
          <w:shd w:val="clear" w:fill="FFFFFF"/>
          <w:lang w:val="en-US" w:eastAsia="zh-CN" w:bidi="ar"/>
        </w:rPr>
        <w:fldChar w:fldCharType="begin"/>
      </w:r>
      <w:r>
        <w:rPr>
          <w:rFonts w:hint="eastAsia" w:ascii="微软雅黑" w:hAnsi="微软雅黑" w:eastAsia="微软雅黑" w:cs="微软雅黑"/>
          <w:kern w:val="0"/>
          <w:sz w:val="24"/>
          <w:szCs w:val="24"/>
          <w:bdr w:val="none" w:color="auto" w:sz="0" w:space="0"/>
          <w:shd w:val="clear" w:fill="FFFFFF"/>
          <w:lang w:val="en-US" w:eastAsia="zh-CN" w:bidi="ar"/>
        </w:rPr>
        <w:instrText xml:space="preserve"> HYPERLINK "http://sc.cma.gov.cn/xxgk/tzgg/202006/t20200621_1765394.html" </w:instrText>
      </w:r>
      <w:r>
        <w:rPr>
          <w:rFonts w:hint="eastAsia" w:ascii="微软雅黑" w:hAnsi="微软雅黑" w:eastAsia="微软雅黑" w:cs="微软雅黑"/>
          <w:kern w:val="0"/>
          <w:sz w:val="24"/>
          <w:szCs w:val="24"/>
          <w:bdr w:val="none" w:color="auto" w:sz="0" w:space="0"/>
          <w:shd w:val="clear" w:fill="FFFFFF"/>
          <w:lang w:val="en-US" w:eastAsia="zh-CN" w:bidi="ar"/>
        </w:rPr>
        <w:fldChar w:fldCharType="separate"/>
      </w:r>
      <w:r>
        <w:rPr>
          <w:rFonts w:hint="eastAsia" w:ascii="微软雅黑" w:hAnsi="微软雅黑" w:eastAsia="微软雅黑" w:cs="微软雅黑"/>
          <w:kern w:val="0"/>
          <w:sz w:val="24"/>
          <w:szCs w:val="24"/>
          <w:bdr w:val="none" w:color="auto" w:sz="0" w:space="0"/>
          <w:shd w:val="clear" w:fill="FFFFFF"/>
          <w:lang w:val="en-US" w:eastAsia="zh-CN" w:bidi="ar"/>
        </w:rPr>
        <w:fldChar w:fldCharType="end"/>
      </w:r>
      <w:r>
        <w:rPr>
          <w:rFonts w:hint="eastAsia" w:ascii="微软雅黑" w:hAnsi="微软雅黑" w:eastAsia="微软雅黑" w:cs="微软雅黑"/>
          <w:kern w:val="0"/>
          <w:sz w:val="24"/>
          <w:szCs w:val="24"/>
          <w:bdr w:val="none" w:color="auto" w:sz="0" w:space="0"/>
          <w:shd w:val="clear" w:fill="FFFFFF"/>
          <w:lang w:val="en-US" w:eastAsia="zh-CN" w:bidi="ar"/>
        </w:rPr>
        <w:fldChar w:fldCharType="begin"/>
      </w:r>
      <w:r>
        <w:rPr>
          <w:rFonts w:hint="eastAsia" w:ascii="微软雅黑" w:hAnsi="微软雅黑" w:eastAsia="微软雅黑" w:cs="微软雅黑"/>
          <w:kern w:val="0"/>
          <w:sz w:val="24"/>
          <w:szCs w:val="24"/>
          <w:bdr w:val="none" w:color="auto" w:sz="0" w:space="0"/>
          <w:shd w:val="clear" w:fill="FFFFFF"/>
          <w:lang w:val="en-US" w:eastAsia="zh-CN" w:bidi="ar"/>
        </w:rPr>
        <w:instrText xml:space="preserve"> HYPERLINK "http://sc.cma.gov.cn/xxgk/tzgg/202006/t20200621_1765394.html" \o "分享到微信" </w:instrText>
      </w:r>
      <w:r>
        <w:rPr>
          <w:rFonts w:hint="eastAsia" w:ascii="微软雅黑" w:hAnsi="微软雅黑" w:eastAsia="微软雅黑" w:cs="微软雅黑"/>
          <w:kern w:val="0"/>
          <w:sz w:val="24"/>
          <w:szCs w:val="24"/>
          <w:bdr w:val="none" w:color="auto" w:sz="0" w:space="0"/>
          <w:shd w:val="clear" w:fill="FFFFFF"/>
          <w:lang w:val="en-US" w:eastAsia="zh-CN" w:bidi="ar"/>
        </w:rPr>
        <w:fldChar w:fldCharType="separate"/>
      </w:r>
      <w:r>
        <w:rPr>
          <w:rFonts w:hint="eastAsia" w:ascii="微软雅黑" w:hAnsi="微软雅黑" w:eastAsia="微软雅黑" w:cs="微软雅黑"/>
          <w:kern w:val="0"/>
          <w:sz w:val="24"/>
          <w:szCs w:val="24"/>
          <w:bdr w:val="none" w:color="auto" w:sz="0" w:space="0"/>
          <w:shd w:val="clear" w:fill="FFFFFF"/>
          <w:lang w:val="en-US" w:eastAsia="zh-CN" w:bidi="ar"/>
        </w:rPr>
        <w:fldChar w:fldCharType="end"/>
      </w:r>
      <w:r>
        <w:rPr>
          <w:rFonts w:hint="eastAsia" w:ascii="微软雅黑" w:hAnsi="微软雅黑" w:eastAsia="微软雅黑" w:cs="微软雅黑"/>
          <w:kern w:val="0"/>
          <w:sz w:val="24"/>
          <w:szCs w:val="24"/>
          <w:bdr w:val="none" w:color="auto" w:sz="0" w:space="0"/>
          <w:shd w:val="clear" w:fill="FFFFFF"/>
          <w:lang w:val="en-US" w:eastAsia="zh-CN" w:bidi="ar"/>
        </w:rPr>
        <w:fldChar w:fldCharType="begin"/>
      </w:r>
      <w:r>
        <w:rPr>
          <w:rFonts w:hint="eastAsia" w:ascii="微软雅黑" w:hAnsi="微软雅黑" w:eastAsia="微软雅黑" w:cs="微软雅黑"/>
          <w:kern w:val="0"/>
          <w:sz w:val="24"/>
          <w:szCs w:val="24"/>
          <w:bdr w:val="none" w:color="auto" w:sz="0" w:space="0"/>
          <w:shd w:val="clear" w:fill="FFFFFF"/>
          <w:lang w:val="en-US" w:eastAsia="zh-CN" w:bidi="ar"/>
        </w:rPr>
        <w:instrText xml:space="preserve"> HYPERLINK "http://sc.cma.gov.cn/xxgk/tzgg/202006/t20200621_1765394.html" \o "分享到QQ好友" </w:instrText>
      </w:r>
      <w:r>
        <w:rPr>
          <w:rFonts w:hint="eastAsia" w:ascii="微软雅黑" w:hAnsi="微软雅黑" w:eastAsia="微软雅黑" w:cs="微软雅黑"/>
          <w:kern w:val="0"/>
          <w:sz w:val="24"/>
          <w:szCs w:val="24"/>
          <w:bdr w:val="none" w:color="auto" w:sz="0" w:space="0"/>
          <w:shd w:val="clear" w:fill="FFFFFF"/>
          <w:lang w:val="en-US" w:eastAsia="zh-CN" w:bidi="ar"/>
        </w:rPr>
        <w:fldChar w:fldCharType="separate"/>
      </w:r>
      <w:r>
        <w:rPr>
          <w:rFonts w:hint="eastAsia" w:ascii="微软雅黑" w:hAnsi="微软雅黑" w:eastAsia="微软雅黑" w:cs="微软雅黑"/>
          <w:kern w:val="0"/>
          <w:sz w:val="24"/>
          <w:szCs w:val="24"/>
          <w:bdr w:val="none" w:color="auto" w:sz="0" w:space="0"/>
          <w:shd w:val="clear" w:fill="FFFFFF"/>
          <w:lang w:val="en-US" w:eastAsia="zh-CN" w:bidi="ar"/>
        </w:rPr>
        <w:fldChar w:fldCharType="end"/>
      </w:r>
      <w:r>
        <w:rPr>
          <w:rFonts w:hint="eastAsia" w:ascii="微软雅黑" w:hAnsi="微软雅黑" w:eastAsia="微软雅黑" w:cs="微软雅黑"/>
          <w:kern w:val="0"/>
          <w:sz w:val="24"/>
          <w:szCs w:val="24"/>
          <w:bdr w:val="none" w:color="auto" w:sz="0" w:space="0"/>
          <w:shd w:val="clear" w:fill="FFFFFF"/>
          <w:lang w:val="en-US" w:eastAsia="zh-CN" w:bidi="ar"/>
        </w:rPr>
        <w:fldChar w:fldCharType="begin"/>
      </w:r>
      <w:r>
        <w:rPr>
          <w:rFonts w:hint="eastAsia" w:ascii="微软雅黑" w:hAnsi="微软雅黑" w:eastAsia="微软雅黑" w:cs="微软雅黑"/>
          <w:kern w:val="0"/>
          <w:sz w:val="24"/>
          <w:szCs w:val="24"/>
          <w:bdr w:val="none" w:color="auto" w:sz="0" w:space="0"/>
          <w:shd w:val="clear" w:fill="FFFFFF"/>
          <w:lang w:val="en-US" w:eastAsia="zh-CN" w:bidi="ar"/>
        </w:rPr>
        <w:instrText xml:space="preserve"> HYPERLINK "http://sc.cma.gov.cn/xxgk/tzgg/202006/t20200621_1765394.html" \o "分享到新浪微博" </w:instrText>
      </w:r>
      <w:r>
        <w:rPr>
          <w:rFonts w:hint="eastAsia" w:ascii="微软雅黑" w:hAnsi="微软雅黑" w:eastAsia="微软雅黑" w:cs="微软雅黑"/>
          <w:kern w:val="0"/>
          <w:sz w:val="24"/>
          <w:szCs w:val="24"/>
          <w:bdr w:val="none" w:color="auto" w:sz="0" w:space="0"/>
          <w:shd w:val="clear" w:fill="FFFFFF"/>
          <w:lang w:val="en-US" w:eastAsia="zh-CN" w:bidi="ar"/>
        </w:rPr>
        <w:fldChar w:fldCharType="separate"/>
      </w:r>
      <w:r>
        <w:rPr>
          <w:rFonts w:hint="eastAsia" w:ascii="微软雅黑" w:hAnsi="微软雅黑" w:eastAsia="微软雅黑" w:cs="微软雅黑"/>
          <w:kern w:val="0"/>
          <w:sz w:val="24"/>
          <w:szCs w:val="24"/>
          <w:bdr w:val="none" w:color="auto" w:sz="0" w:space="0"/>
          <w:shd w:val="clear" w:fill="FFFFFF"/>
          <w:lang w:val="en-US" w:eastAsia="zh-CN" w:bidi="ar"/>
        </w:rPr>
        <w:fldChar w:fldCharType="end"/>
      </w:r>
    </w:p>
    <w:p>
      <w:pPr>
        <w:pStyle w:val="2"/>
        <w:keepNext w:val="0"/>
        <w:keepLines w:val="0"/>
        <w:widowControl/>
        <w:suppressLineNumbers w:val="0"/>
        <w:spacing w:before="300" w:beforeAutospacing="0" w:after="452" w:afterAutospacing="0" w:line="315" w:lineRule="atLeast"/>
        <w:ind w:left="0" w:right="0" w:firstLine="420"/>
        <w:jc w:val="center"/>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四川省气象局2020年部门预算编制说明</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一、基本职能及主要工作</w:t>
      </w:r>
    </w:p>
    <w:p>
      <w:pPr>
        <w:pStyle w:val="2"/>
        <w:keepNext w:val="0"/>
        <w:keepLines w:val="0"/>
        <w:widowControl/>
        <w:suppressLineNumbers w:val="0"/>
        <w:spacing w:before="438"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(一)四川省气象局职能简介。 </w:t>
      </w:r>
    </w:p>
    <w:p>
      <w:pPr>
        <w:pStyle w:val="2"/>
        <w:keepNext w:val="0"/>
        <w:keepLines w:val="0"/>
        <w:widowControl/>
        <w:suppressLineNumbers w:val="0"/>
        <w:spacing w:before="438"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承担四川省内气象监测、预报、预测和灾害性天气预警等业务，履行气象行业管理、气象设施和气象探测环境保护、气象预报发布与传播、气象灾害防御、气候资源开发利用和保护、气候可行性论证、人工影响天气管理、雷电灾害防御管理和气象行政执法等管理职能。</w:t>
      </w:r>
    </w:p>
    <w:p>
      <w:pPr>
        <w:pStyle w:val="2"/>
        <w:keepNext w:val="0"/>
        <w:keepLines w:val="0"/>
        <w:widowControl/>
        <w:suppressLineNumbers w:val="0"/>
        <w:spacing w:before="438"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(二)四川省气象局2020年重点工作。</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1.深入学习贯彻十九届四中全会以及习近平总书记对新中国气象事业70周年重要指示、李克强总理批示和胡春华副总理讲话精神。学习贯彻十九届四中全会精神，特别是习近平总书记对新中国气象事业70周年重要指示、李克强总理批示和胡春华副总理讲话精神，是我省气象部门2020年的首要政治任务，当前积极安排、深入思考，下一步按照中国气象局统一安排部署，结合我省实际，凝神聚力、脚踏实地抓好贯彻落实。</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2.继续做好“不忘初心、牢记使命”主题教育后续工作。抓好两批主题教育单位当前整改落实工作，继续深化和巩固“不忘初心、牢记使命”主题教育成效，落实“不忘初心、牢记使命”常态化教育，不断强化党员干部理想信念教育，引导党员干部进一步树牢“四个意识”，增强“四个自信”，坚决做到“两个维护”。</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3.强化服务保障，全面做好各项气象服务工作。贯彻省委十一届六次关于推进基层治理能力建设精神，按照习近平总书记对气象工作重要指示要求，加强各类气象灾害监测预报预警，全力以赴做好汛期及各项防灾减灾气象保障服务，发挥好气象防灾减灾“第一道防线”作用。进一步提升智慧气象服务能力，提高服务产品的针对性、时效性和实用性。全面做好各项重大气象保障服务，特别是2021年成都世界大学生运动会的气象服务保障各项准备工作。</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4.强化规划引领，深入开展“十四五”发展规划编制工作。加快“十三五”规划重点项目实施，重点推进西南人影基地和省级气象防灾减灾预警中心建设。加强“十四五”规划的重大专题战略研究，统筹谋划好“十四五”规划基本思路和重点领域，结合四川气象实际，着重从基础性业务领域、应用性服务领域、支撑性科技创新领域三个方向谋划实施“十四五”重大工程项目，不断提升气象业务自身发展的基础能力、气象服务保障经济社会发展的能力、解决气象核心技术难题的能力。</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5.强化试点引领，全力推进业务技术体制改革工作。我局作为省级数据中心试点建设唯一的省级单位，进一步加强与中国移动、成信大等国企、高校合作研发，加强改革研究、总结提炼，形成可复制、可推广的试点经验，圆满完成上级改革试点建设任务。同时以大数据统筹集约为基础，积极部署其他领域的业务技术体制工作，根据上级统一安排部署做好业务体制改革承接工作。</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6.完善体制机制，全面加强科技创新和人才队伍建设。加强科技创新战略谋划、完善人才成长体制机制，进一步激发科技创新活力。改进科研项目管理，推进成果转化，深化高原所改革，充分发挥省重实验室科技创新平台作用，进一步强化人才培养支持措施，全面实施“161”人才计划，打造出我省气象高层次科技创新人才队伍。</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二、部门预算单位构成</w:t>
      </w:r>
    </w:p>
    <w:p>
      <w:pPr>
        <w:pStyle w:val="2"/>
        <w:keepNext w:val="0"/>
        <w:keepLines w:val="0"/>
        <w:widowControl/>
        <w:suppressLineNumbers w:val="0"/>
        <w:spacing w:before="438"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四川省气象局下属二级预算单位5个，其中行政单位0个，参照公务员法管理的事业单位1个，其他事业单位4个。主要包括:四川省气象局机关、四川省人工影响天气办公室、四川省农业气象中心、四川省农村经济综合信息中心、四川省防雷中心。</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三、收支预算情况说明</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按照综合预算的原则，四川省气象局所有收入和支出均纳入部门预算管理。收入包括:一般公共预算拨款收入、事业单位经营收入、其他收入;支出包括:科学技术支出、教育支出、社会保障和就业支出、卫生健康支出、农林水支出、国土海洋气象等支出、住房保障支出。四川省气象局2020年收支总预算1902.04万元,比2019年收支预算总数减少987.94万元，主要原因是上年结转项目预算减少。</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(一)收入预算情况</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四川省气象局2020年收入预算1902.04万元，其中:上年结转113.40万元，占5.96%;一般公共预算拨款收入1380.79万元，占72.60%;事业单位经营收入400万元，占21.03%;其他收入7.85万元，占0.41%。</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(二)支出预算情况</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四川省气象局2020年支出预算1902.04万元，其中:基本支出1140.79万元，占59.98%;项目支出761.25万元，占40.02%。</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四、财政拨款收支预算情况说明</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四川省气象局2020年财政拨款收支总预算1494.19万元,比2019年财政拨款收支总预算减少1345.79万元，主要原因是一是项目建设基本完成，上年结转预算金额减少;二是贯彻落实政府过“紧日子”，优化支出结构，提高资金使用效益的有关要求，压减了非重点、非刚性的一般性支出的项目预算。</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收入包括:本年一般公共预算拨款收入1380.79万元、一般公共预算拨款上年结转收入113.40万元;支出包括:科学技术支出4.22万元、教育支出2.07万元、社会保障和就业支出97.27万元、卫生健康支出31.08万元、农林水支出273.76万元、国土海洋气象等支出1044.22万元、住房保障支出41.57万元。</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五、一般公共预算当年拨款情况说明</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(一)一般公共预算当年拨款规模变化情况</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四川省气象局2020年一般公共预算当年拨款1380.79万元，比2019年预算数减少272.6万元，主要原因是压减非重点、非刚性的一般性支出的项目预算。</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(二)一般公共预算当年拨款结构情况</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教育支出2.07万元、占0.15%;社会保障和就业支出97.27万元，占7.04%;卫生健康支出31.08万元，占2.25%;农林水支出273.76万元，占19.83%;国土海洋气象等支出935.04万元，占67.72%;住房保障支出41.57万元，占3.01%。</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(三)一般公共预算当年拨款具体使用情况</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1.教育支出(类)进修及培训(款)培训支出(项)2020年预算数为2.07万元，主要用于新招录非气象专业毕业的职工参加气象基础知识类培训。</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2. 社会保障和就业支出(类)行政事业单位养老支出(款)机关事业单位基本养老保险缴费支出(项)2020年预算数为61.99万元，主要用于单位职工基本养老保险缴费支出，确保养老保险政策的有效落实。</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3. 社会保障和就业支出(类)行政事业单位养老支出(款)机关事业单位职业年金缴费支出(项)2020年预算数为31.27万元，主要用于单位职工职业年金缴费支出，确保养老保险政策的有效落实。</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4. 社会保障和就业支出(类)其他社会保障和就业支出(款)其他社会保障和就业支出(项)2020年预算数为4.01万元，主要用于单位职工失业险及工伤险缴费支出。。</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5. 卫生健康支出(类)行政事业单位医疗(款)事业单位医疗(项)2020年预算数为31.08万元，主要用于单位职工医疗保险缴费支出。</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6. 农林水支出(类)农业农村(款)事业运行(项)2020年预算数为171.02万元，主要用于四川省农村经济综合信息中心基本工资、津贴补贴等人员经费，以及办公费、水电费、差旅费等日常公用经费的支出，从而确保单位正常有序运转。</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7. 农林水支出(类)农业农村(款)统计监测与信息服务(项)2020年预算数为102.74万元，主要用于:主要用于四川省农村经济综合信息中心的“农村综合信息服务平台”应用开发、设备购置及单位正常运转类支出。</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8. 自然资源海洋气象等支出(类)气象事务(款)气象事业机构(项)2020年预算数为261.18万元，主要用于保障四川省人工影响天气办公室和四川省农业气象中心正常运转的日常支出，包括基本工资、津贴补贴等人员经费，以及办公费、水电费、差旅费等日常公用经费。</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9. 自然资源海洋气象等支出(类)气象事务(款)其他气象事务支出(项)2020年预算数为673.86万元，主要用于:主要用于飞机人工增雨、广汉飞机增雨基地运维、弹药仓储、加密自动气象站资料传输等项目支出。</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10. 住房保障支出(类)住房改革支出(款)住房公积金(项)2020年预算数为41.57万元，主要用于缴纳单位在编在职职工的住房公积金。</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六、一般公共预算基本支出情况说明</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四川省气象局2020年一般公共预算基本支出740.79万元，其中:</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人员经费544.56万元，主要包括:基本工资、津贴补贴、绩效工资、机关事业单位基本养老保险缴费、职业年金缴费、职工基本医疗保险缴费、其他社会保障缴费、住房公积金等支出。</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公用经费196.23万元，主要包括:办公费、印刷费、咨询费、水费、电费、邮电费、物业管理费、差旅费、维修(护)费、会议费、公务接待费、劳务费、工会经费、福利费、公务用车运行维护费。</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七、“三公”经费财政拨款预算安排情况说明</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四川省气象局2020年“三公”经费财政拨款预算数21.23万元，其中:公务接待费1.2万元，公务用车购置及运行维护费20.03万元。</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(一)四川省气象局无因公出国(境)经费</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(二)公务接待费较2019年预算下降25%。主要原因是严格落实省委省政府过“紧日子”有关要求，进一步加强公务接待管理，严控此类一般性支出。</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2020年公务接待费计划用于执行公务、开展业务科研活动、技术交流、技术支持、接受业务检查指导等公务接待。</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(三)公务用车购置及运行维护费较2019年预算下降1.8%。主要原因是严格落实省委省政府过“紧日子”有关要求，严控此类非刚性支出。</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单位现有公务用车10辆，其中:轿车5辆，旅行车(含商务车)2辆，越野车3辆。</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2020年安排公务用车购置费0万元。</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2020年安排公务用车运行维护费20.03万元，用于10辆公务用车燃油、维修、过路过桥、保险等方面支出。主要保障农情田间调查业务、人工影响天气作业、农经信息调查、基层业务指导、基层调研等工作开展。。</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八、政府性基金预算支出情况说明</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四川省气象局2020年没有使用政府性基金预算拨款安排的支出。</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九、国有资本经营预算支出情况说明</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四川省气象局2020年没有使用国有资本经营预算拨款安排的支出。</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十、其他重要事项的情况说明</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(一)机关运行经费</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四川省气象局机关是中央在川参公管理事业单位，2020年未安排参公管理事业单位的机关运行经费省级财政拨款预算。</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本部门下属四川省农业气象中心等4家单位均为事业单位，按规定未使用机关运行的相关科目。</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(二)政府采购情况</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2020年，四川省气象局安排政府采购预算353.24万元，主要用于采购服务器等设备、公务用车维持服务(含机动车保险业务、车辆加油服务、车辆维修和保养服务);弹药仓储租赁服务;人工增雨业务开展所需的飞机租赁等。</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(三)国有资产占有使用情况</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截至2019年底，四川省气象部门所属各预算单位共有车辆10辆，其中，省部级领导干部用车0辆、定向保障用车0辆、执法执勤用车0辆，其他用车10辆。单位价值200万元以上大型设备0台(套)。</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2020年部门预算未安排购置车辆及单位价值200万元以上大型设备。</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(四)绩效目标设置情况</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绩效目标是预算编制的前提和基础，按照“费随事定”的原则，2020年四川省气象局100万元以上项目按要求编制了绩效目标,从项目完成、项目效益、满意度等方面设置了绩效指标，综合反映项目预期完成的数量、成本、时效、质量，预期达到的社会效益、经济效益、生态效益、可持续影响以及服务对象满意度等情况。</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十一、名词解释</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财政拨款收入:指省级财政当年拨付的资金。</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事业单位经营收入:指气象部门事业单位开展专业业务活动及辅助活动所取得的收入。</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上年结转:指以前年度尚未完成，结转到本年仍按原规定原用途继续使用的资金。</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附件:表1.部门收支总表</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表1-1.部门收入总表</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表1-2.部门支出总表</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表2.财政拨款收支预算总表</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表2-1.财政拨款支出预算表(政府经济分类科目)</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表3.一般公共预算支出预算表</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表3-1.一般公共预算基本支出预算表</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表3-2.一般公共预算项目支出预算表</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表3-3.一般公共预算“三公”经费支出预算表</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表4.政府性基金支出预算表</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表4-1.政府性基金预算“三公”经费支出预算表</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表5.国有资本经营预算支出预算表</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表6.2020年省级部门预算项目绩效目标</w:t>
      </w:r>
    </w:p>
    <w:p>
      <w:pPr>
        <w:pStyle w:val="2"/>
        <w:keepNext w:val="0"/>
        <w:keepLines w:val="0"/>
        <w:widowControl/>
        <w:suppressLineNumbers w:val="0"/>
        <w:spacing w:before="300" w:beforeAutospacing="0" w:after="452" w:afterAutospacing="0" w:line="315" w:lineRule="atLeast"/>
        <w:ind w:left="0" w:right="0" w:firstLine="420"/>
        <w:jc w:val="left"/>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rPr>
        <w:t>表7.2020年专项预算项目支出绩效目标表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BD0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40404"/>
      <w:u w:val="none"/>
    </w:rPr>
  </w:style>
  <w:style w:type="character" w:styleId="7">
    <w:name w:val="Emphasis"/>
    <w:basedOn w:val="4"/>
    <w:qFormat/>
    <w:uiPriority w:val="0"/>
  </w:style>
  <w:style w:type="character" w:styleId="8">
    <w:name w:val="HTML Definition"/>
    <w:basedOn w:val="4"/>
    <w:uiPriority w:val="0"/>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yperlink"/>
    <w:basedOn w:val="4"/>
    <w:uiPriority w:val="0"/>
    <w:rPr>
      <w:color w:val="040404"/>
      <w:u w:val="none"/>
    </w:rPr>
  </w:style>
  <w:style w:type="character" w:styleId="12">
    <w:name w:val="HTML Code"/>
    <w:basedOn w:val="4"/>
    <w:uiPriority w:val="0"/>
    <w:rPr>
      <w:rFonts w:ascii="Courier New" w:hAnsi="Courier New"/>
      <w:sz w:val="20"/>
    </w:rPr>
  </w:style>
  <w:style w:type="character" w:styleId="13">
    <w:name w:val="HTML Cite"/>
    <w:basedOn w:val="4"/>
    <w:uiPriority w:val="0"/>
  </w:style>
  <w:style w:type="character" w:customStyle="1" w:styleId="14">
    <w:name w:val="hover3"/>
    <w:basedOn w:val="4"/>
    <w:uiPriority w:val="0"/>
  </w:style>
  <w:style w:type="character" w:customStyle="1" w:styleId="15">
    <w:name w:val="hover4"/>
    <w:basedOn w:val="4"/>
    <w:uiPriority w:val="0"/>
  </w:style>
  <w:style w:type="paragraph" w:customStyle="1" w:styleId="16">
    <w:name w:val="new_text_tit"/>
    <w:basedOn w:val="1"/>
    <w:uiPriority w:val="0"/>
    <w:pPr>
      <w:spacing w:after="0" w:afterAutospacing="0" w:line="660" w:lineRule="atLeast"/>
      <w:jc w:val="center"/>
    </w:pPr>
    <w:rPr>
      <w:b/>
      <w:kern w:val="0"/>
      <w:sz w:val="30"/>
      <w:szCs w:val="30"/>
      <w:lang w:val="en-US" w:eastAsia="zh-CN" w:bidi="ar"/>
    </w:rPr>
  </w:style>
  <w:style w:type="paragraph" w:customStyle="1" w:styleId="17">
    <w:name w:val="new_text_tit2"/>
    <w:basedOn w:val="1"/>
    <w:uiPriority w:val="0"/>
    <w:pPr>
      <w:spacing w:after="300" w:afterAutospacing="0"/>
      <w:jc w:val="center"/>
    </w:pPr>
    <w:rPr>
      <w:b/>
      <w:kern w:val="0"/>
      <w:sz w:val="30"/>
      <w:szCs w:val="3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蒋伟</cp:lastModifiedBy>
  <dcterms:modified xsi:type="dcterms:W3CDTF">2020-12-01T03:02:33Z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