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kern w:val="0"/>
          <w:sz w:val="32"/>
          <w:szCs w:val="32"/>
        </w:rPr>
      </w:pPr>
      <w:r>
        <w:rPr>
          <w:rFonts w:hint="eastAsia" w:ascii="黑体" w:hAnsi="黑体" w:eastAsia="黑体" w:cs="黑体"/>
          <w:kern w:val="0"/>
          <w:sz w:val="32"/>
          <w:szCs w:val="32"/>
        </w:rPr>
        <w:t>附件</w:t>
      </w:r>
    </w:p>
    <w:tbl>
      <w:tblPr>
        <w:tblStyle w:val="2"/>
        <w:tblpPr w:leftFromText="180" w:rightFromText="180" w:vertAnchor="page" w:horzAnchor="margin" w:tblpXSpec="center" w:tblpY="2776"/>
        <w:tblW w:w="10361" w:type="dxa"/>
        <w:jc w:val="center"/>
        <w:tblLayout w:type="autofit"/>
        <w:tblCellMar>
          <w:top w:w="0" w:type="dxa"/>
          <w:left w:w="108" w:type="dxa"/>
          <w:bottom w:w="0" w:type="dxa"/>
          <w:right w:w="108" w:type="dxa"/>
        </w:tblCellMar>
      </w:tblPr>
      <w:tblGrid>
        <w:gridCol w:w="973"/>
        <w:gridCol w:w="1084"/>
        <w:gridCol w:w="1475"/>
        <w:gridCol w:w="1928"/>
        <w:gridCol w:w="1311"/>
        <w:gridCol w:w="3590"/>
      </w:tblGrid>
      <w:tr>
        <w:tblPrEx>
          <w:tblCellMar>
            <w:top w:w="0" w:type="dxa"/>
            <w:left w:w="108" w:type="dxa"/>
            <w:bottom w:w="0" w:type="dxa"/>
            <w:right w:w="108" w:type="dxa"/>
          </w:tblCellMar>
        </w:tblPrEx>
        <w:trPr>
          <w:trHeight w:val="711" w:hRule="atLeast"/>
          <w:jc w:val="center"/>
        </w:trPr>
        <w:tc>
          <w:tcPr>
            <w:tcW w:w="10361" w:type="dxa"/>
            <w:gridSpan w:val="6"/>
            <w:tcBorders>
              <w:top w:val="nil"/>
              <w:left w:val="nil"/>
              <w:bottom w:val="nil"/>
              <w:right w:val="nil"/>
            </w:tcBorders>
            <w:noWrap/>
            <w:vAlign w:val="center"/>
          </w:tcPr>
          <w:p>
            <w:pPr>
              <w:widowControl/>
              <w:jc w:val="center"/>
              <w:rPr>
                <w:rFonts w:ascii="宋体" w:hAnsi="宋体" w:cs="宋体"/>
                <w:b/>
                <w:bCs/>
                <w:color w:val="000000"/>
                <w:kern w:val="0"/>
                <w:sz w:val="28"/>
                <w:szCs w:val="28"/>
              </w:rPr>
            </w:pPr>
            <w:bookmarkStart w:id="0" w:name="_GoBack"/>
            <w:r>
              <w:rPr>
                <w:rFonts w:hint="eastAsia" w:ascii="方正小标宋简体" w:hAnsi="方正小标宋简体" w:eastAsia="方正小标宋简体" w:cs="方正小标宋简体"/>
                <w:color w:val="000000"/>
                <w:kern w:val="0"/>
                <w:sz w:val="36"/>
                <w:szCs w:val="36"/>
              </w:rPr>
              <w:t>综合考评表</w:t>
            </w:r>
            <w:bookmarkEnd w:id="0"/>
          </w:p>
        </w:tc>
      </w:tr>
      <w:tr>
        <w:tblPrEx>
          <w:tblCellMar>
            <w:top w:w="0" w:type="dxa"/>
            <w:left w:w="108" w:type="dxa"/>
            <w:bottom w:w="0" w:type="dxa"/>
            <w:right w:w="108" w:type="dxa"/>
          </w:tblCellMar>
        </w:tblPrEx>
        <w:trPr>
          <w:trHeight w:val="670" w:hRule="atLeast"/>
          <w:jc w:val="center"/>
        </w:trPr>
        <w:tc>
          <w:tcPr>
            <w:tcW w:w="2057"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类别</w:t>
            </w:r>
          </w:p>
        </w:tc>
        <w:tc>
          <w:tcPr>
            <w:tcW w:w="1475"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指标分数</w:t>
            </w:r>
          </w:p>
        </w:tc>
        <w:tc>
          <w:tcPr>
            <w:tcW w:w="19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分项指标</w:t>
            </w:r>
          </w:p>
        </w:tc>
        <w:tc>
          <w:tcPr>
            <w:tcW w:w="13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银行填写</w:t>
            </w:r>
          </w:p>
        </w:tc>
        <w:tc>
          <w:tcPr>
            <w:tcW w:w="359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备注</w:t>
            </w:r>
          </w:p>
        </w:tc>
      </w:tr>
      <w:tr>
        <w:tblPrEx>
          <w:tblCellMar>
            <w:top w:w="0" w:type="dxa"/>
            <w:left w:w="108" w:type="dxa"/>
            <w:bottom w:w="0" w:type="dxa"/>
            <w:right w:w="108" w:type="dxa"/>
          </w:tblCellMar>
        </w:tblPrEx>
        <w:trPr>
          <w:trHeight w:val="592" w:hRule="atLeast"/>
          <w:jc w:val="center"/>
        </w:trPr>
        <w:tc>
          <w:tcPr>
            <w:tcW w:w="973"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通用指标</w:t>
            </w:r>
          </w:p>
        </w:tc>
        <w:tc>
          <w:tcPr>
            <w:tcW w:w="108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经营状况指标(30分)</w:t>
            </w: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总行净资产总额(股东权益总额)</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711"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总行资本充足率（监管指标》8%）</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516"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总行不良贷款率（监管指标≤5%）</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516"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总行拨备覆盖率（监管指标》100%）</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889"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总行流动性覆盖率（监管指标》100%）</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829"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总行流动性比例（》25%）</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2020年度财务报表复印件</w:t>
            </w:r>
          </w:p>
        </w:tc>
      </w:tr>
      <w:tr>
        <w:tblPrEx>
          <w:tblCellMar>
            <w:top w:w="0" w:type="dxa"/>
            <w:left w:w="108" w:type="dxa"/>
            <w:bottom w:w="0" w:type="dxa"/>
            <w:right w:w="108" w:type="dxa"/>
          </w:tblCellMar>
        </w:tblPrEx>
        <w:trPr>
          <w:trHeight w:val="785"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贡献度指标（30分）</w:t>
            </w: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小微企业贷款余额</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2020年底</w:t>
            </w:r>
          </w:p>
        </w:tc>
      </w:tr>
      <w:tr>
        <w:tblPrEx>
          <w:tblCellMar>
            <w:top w:w="0" w:type="dxa"/>
            <w:left w:w="108" w:type="dxa"/>
            <w:bottom w:w="0" w:type="dxa"/>
            <w:right w:w="108" w:type="dxa"/>
          </w:tblCellMar>
        </w:tblPrEx>
        <w:trPr>
          <w:trHeight w:val="696"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三农贷款余额</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2020年底</w:t>
            </w:r>
          </w:p>
        </w:tc>
      </w:tr>
      <w:tr>
        <w:tblPrEx>
          <w:tblCellMar>
            <w:top w:w="0" w:type="dxa"/>
            <w:left w:w="108" w:type="dxa"/>
            <w:bottom w:w="0" w:type="dxa"/>
            <w:right w:w="108" w:type="dxa"/>
          </w:tblCellMar>
        </w:tblPrEx>
        <w:trPr>
          <w:trHeight w:val="696"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四川省地方债券资金承销金额</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提供2020年全年承销金额证明</w:t>
            </w:r>
          </w:p>
        </w:tc>
      </w:tr>
      <w:tr>
        <w:tblPrEx>
          <w:tblCellMar>
            <w:top w:w="0" w:type="dxa"/>
            <w:left w:w="108" w:type="dxa"/>
            <w:bottom w:w="0" w:type="dxa"/>
            <w:right w:w="108" w:type="dxa"/>
          </w:tblCellMar>
        </w:tblPrEx>
        <w:trPr>
          <w:trHeight w:val="622"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楷体_GB2312" w:hAnsi="楷体_GB2312" w:eastAsia="楷体_GB2312" w:cs="楷体_GB2312"/>
                <w:color w:val="000000"/>
                <w:kern w:val="0"/>
                <w:sz w:val="24"/>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5</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扶贫贷款</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2020年底</w:t>
            </w:r>
          </w:p>
        </w:tc>
      </w:tr>
      <w:tr>
        <w:tblPrEx>
          <w:tblCellMar>
            <w:top w:w="0" w:type="dxa"/>
            <w:left w:w="108" w:type="dxa"/>
            <w:bottom w:w="0" w:type="dxa"/>
            <w:right w:w="108" w:type="dxa"/>
          </w:tblCellMar>
        </w:tblPrEx>
        <w:trPr>
          <w:trHeight w:val="992" w:hRule="atLeast"/>
          <w:jc w:val="center"/>
        </w:trPr>
        <w:tc>
          <w:tcPr>
            <w:tcW w:w="9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color w:val="000000"/>
                <w:kern w:val="0"/>
                <w:sz w:val="24"/>
              </w:rPr>
            </w:pPr>
            <w:r>
              <w:rPr>
                <w:rFonts w:hint="eastAsia" w:ascii="楷体_GB2312" w:hAnsi="楷体_GB2312" w:eastAsia="楷体_GB2312" w:cs="楷体_GB2312"/>
                <w:color w:val="000000"/>
                <w:kern w:val="0"/>
                <w:sz w:val="24"/>
              </w:rPr>
              <w:t>自选指标</w:t>
            </w:r>
          </w:p>
        </w:tc>
        <w:tc>
          <w:tcPr>
            <w:tcW w:w="108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服务水平指标（30分）</w:t>
            </w: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支付结算、对账、分账核算等服务的能力和水平</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各投标银行自行文字阐述</w:t>
            </w:r>
          </w:p>
        </w:tc>
      </w:tr>
      <w:tr>
        <w:tblPrEx>
          <w:tblCellMar>
            <w:top w:w="0" w:type="dxa"/>
            <w:left w:w="108" w:type="dxa"/>
            <w:bottom w:w="0" w:type="dxa"/>
            <w:right w:w="108" w:type="dxa"/>
          </w:tblCellMar>
        </w:tblPrEx>
        <w:trPr>
          <w:trHeight w:val="548"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08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20</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财政考评情况</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提供近三年泸州市级财政对金融机构考评文件</w:t>
            </w:r>
          </w:p>
        </w:tc>
      </w:tr>
      <w:tr>
        <w:tblPrEx>
          <w:tblCellMar>
            <w:top w:w="0" w:type="dxa"/>
            <w:left w:w="108" w:type="dxa"/>
            <w:bottom w:w="0" w:type="dxa"/>
            <w:right w:w="108" w:type="dxa"/>
          </w:tblCellMar>
        </w:tblPrEx>
        <w:trPr>
          <w:trHeight w:val="1228" w:hRule="atLeast"/>
          <w:jc w:val="center"/>
        </w:trPr>
        <w:tc>
          <w:tcPr>
            <w:tcW w:w="9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Cs w:val="21"/>
              </w:rPr>
            </w:pPr>
          </w:p>
        </w:tc>
        <w:tc>
          <w:tcPr>
            <w:tcW w:w="108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利率水平指标（10分）</w:t>
            </w:r>
          </w:p>
        </w:tc>
        <w:tc>
          <w:tcPr>
            <w:tcW w:w="1475"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10</w:t>
            </w:r>
          </w:p>
        </w:tc>
        <w:tc>
          <w:tcPr>
            <w:tcW w:w="1928"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活期存款利率</w:t>
            </w:r>
          </w:p>
        </w:tc>
        <w:tc>
          <w:tcPr>
            <w:tcW w:w="131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tc>
        <w:tc>
          <w:tcPr>
            <w:tcW w:w="359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各投标银行需遵守国家利率政策和四川省自律机制关于存款利率差异化定价实施方案中，关于财政性存款最高上浮比例1.4倍的相关规定，不得违反相关规定。</w:t>
            </w:r>
          </w:p>
        </w:tc>
      </w:tr>
    </w:tbl>
    <w:p>
      <w:pPr>
        <w:spacing w:line="600" w:lineRule="exact"/>
        <w:rPr>
          <w:rFonts w:hint="eastAsia" w:ascii="黑体" w:hAnsi="黑体" w:eastAsia="黑体" w:cs="黑体"/>
          <w:kern w:val="0"/>
          <w:sz w:val="32"/>
          <w:szCs w:val="32"/>
        </w:rPr>
      </w:pPr>
    </w:p>
    <w:p/>
    <w:sectPr>
      <w:pgSz w:w="11906" w:h="16838"/>
      <w:pgMar w:top="1713" w:right="1800" w:bottom="1246"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6409C"/>
    <w:rsid w:val="6A06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2021-08-12T07:33:00Z</dcterms:created>
  <dc:creator>shine阳</dc:creator>
  <cp:lastModifiedBy>shine阳</cp:lastModifiedBy>
  <dcterms:modified xsi:type="dcterms:W3CDTF">2021-08-12T07:34:30Z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B0E9B18080F34DB387ED346152A2F3B1</vt:lpwstr>
  </property>
</Properties>
</file>