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bookmarkStart w:id="1" w:name="_Toc15378441"/>
      <w:bookmarkStart w:id="2" w:name="_Toc15377193"/>
      <w:bookmarkStart w:id="3" w:name="_Toc15377425"/>
      <w:bookmarkStart w:id="4" w:name="_Toc15396597"/>
      <w:bookmarkStart w:id="5" w:name="_Toc1539647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rPr>
          <w:rFonts w:ascii="方正小标宋简体" w:hAnsi="宋体" w:eastAsia="方正小标宋简体"/>
          <w:color w:val="000000"/>
          <w:sz w:val="72"/>
          <w:szCs w:val="72"/>
        </w:rPr>
      </w:pPr>
      <w:bookmarkStart w:id="6" w:name="_Toc15377194"/>
      <w:bookmarkStart w:id="7" w:name="_Toc15396476"/>
      <w:bookmarkStart w:id="8" w:name="_Toc51593032"/>
      <w:bookmarkStart w:id="9" w:name="_Toc51593443"/>
      <w:bookmarkStart w:id="10" w:name="_Toc15377426"/>
      <w:bookmarkStart w:id="11" w:name="_Toc52107462"/>
      <w:bookmarkStart w:id="12" w:name="_Toc51593318"/>
      <w:bookmarkStart w:id="13" w:name="_Toc15378442"/>
      <w:bookmarkStart w:id="14" w:name="_Toc51592984"/>
      <w:bookmarkStart w:id="15" w:name="_Toc52099529"/>
      <w:bookmarkStart w:id="16" w:name="_Toc15306268"/>
      <w:bookmarkStart w:id="17" w:name="_Toc15396598"/>
      <w:r>
        <w:rPr>
          <w:rFonts w:hint="eastAsia" w:ascii="方正小标宋简体" w:hAnsi="宋体" w:eastAsia="方正小标宋简体"/>
          <w:color w:val="000000"/>
          <w:sz w:val="72"/>
          <w:szCs w:val="72"/>
        </w:rPr>
        <w:t>广元市气象局部门决算</w:t>
      </w:r>
      <w:bookmarkEnd w:id="6"/>
      <w:bookmarkEnd w:id="7"/>
      <w:bookmarkEnd w:id="8"/>
      <w:bookmarkEnd w:id="9"/>
      <w:bookmarkEnd w:id="10"/>
      <w:bookmarkEnd w:id="11"/>
      <w:bookmarkEnd w:id="12"/>
      <w:bookmarkEnd w:id="13"/>
      <w:bookmarkEnd w:id="14"/>
      <w:bookmarkEnd w:id="15"/>
      <w:bookmarkEnd w:id="16"/>
      <w:bookmarkEnd w:id="17"/>
    </w:p>
    <w:p>
      <w:pPr>
        <w:adjustRightInd w:val="0"/>
        <w:snapToGrid w:val="0"/>
        <w:spacing w:line="360" w:lineRule="auto"/>
        <w:jc w:val="center"/>
        <w:rPr>
          <w:rFonts w:ascii="方正小标宋简体" w:hAnsi="宋体" w:eastAsia="方正小标宋简体"/>
          <w:color w:val="000000"/>
          <w:sz w:val="72"/>
          <w:szCs w:val="7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3"/>
        <w:jc w:val="center"/>
      </w:pPr>
      <w:r>
        <w:rPr>
          <w:rFonts w:hint="eastAsia"/>
        </w:rPr>
        <w:t>公开时间：</w:t>
      </w:r>
      <w:r>
        <w:t>2021</w:t>
      </w:r>
      <w:r>
        <w:rPr>
          <w:rFonts w:hint="eastAsia"/>
        </w:rPr>
        <w:t>年9月2日</w:t>
      </w:r>
    </w:p>
    <w:p>
      <w:pPr>
        <w:pStyle w:val="13"/>
        <w:tabs>
          <w:tab w:val="right" w:leader="dot" w:pos="8296"/>
        </w:tabs>
        <w:spacing w:before="93" w:line="400" w:lineRule="exact"/>
        <w:rPr>
          <w:rFonts w:eastAsiaTheme="minorEastAsia" w:cstheme="minorBidi"/>
          <w:b w:val="0"/>
          <w:bCs w:val="0"/>
          <w:caps w:val="0"/>
          <w:sz w:val="26"/>
          <w:szCs w:val="26"/>
        </w:rPr>
      </w:pPr>
      <w:r>
        <w:rPr>
          <w:b w:val="0"/>
        </w:rPr>
        <w:fldChar w:fldCharType="begin"/>
      </w:r>
      <w:r>
        <w:rPr>
          <w:b w:val="0"/>
        </w:rPr>
        <w:instrText xml:space="preserve"> TOC \o "1-3" \h \z \u </w:instrText>
      </w:r>
      <w:r>
        <w:rPr>
          <w:b w:val="0"/>
        </w:rPr>
        <w:fldChar w:fldCharType="separate"/>
      </w:r>
      <w:r>
        <w:fldChar w:fldCharType="begin"/>
      </w:r>
      <w:r>
        <w:instrText xml:space="preserve"> HYPERLINK \l "_Toc82012405" </w:instrText>
      </w:r>
      <w:r>
        <w:fldChar w:fldCharType="separate"/>
      </w:r>
      <w:r>
        <w:rPr>
          <w:rStyle w:val="21"/>
          <w:rFonts w:hint="eastAsia" w:ascii="黑体" w:hAnsi="黑体" w:eastAsia="黑体"/>
          <w:b w:val="0"/>
          <w:sz w:val="26"/>
          <w:szCs w:val="26"/>
          <w:u w:val="none"/>
        </w:rPr>
        <w:t>第一部分</w:t>
      </w:r>
      <w:r>
        <w:rPr>
          <w:rStyle w:val="21"/>
          <w:rFonts w:ascii="黑体" w:hAnsi="黑体" w:eastAsia="黑体"/>
          <w:b w:val="0"/>
          <w:sz w:val="26"/>
          <w:szCs w:val="26"/>
          <w:u w:val="none"/>
        </w:rPr>
        <w:t xml:space="preserve"> </w:t>
      </w:r>
      <w:r>
        <w:rPr>
          <w:rStyle w:val="21"/>
          <w:rFonts w:hint="eastAsia" w:ascii="黑体" w:hAnsi="黑体" w:eastAsia="黑体"/>
          <w:b w:val="0"/>
          <w:sz w:val="26"/>
          <w:szCs w:val="26"/>
          <w:u w:val="none"/>
        </w:rPr>
        <w:t>部门概况</w:t>
      </w:r>
      <w:r>
        <w:rPr>
          <w:b w:val="0"/>
          <w:sz w:val="26"/>
          <w:szCs w:val="26"/>
        </w:rPr>
        <w:tab/>
      </w:r>
      <w:r>
        <w:rPr>
          <w:b w:val="0"/>
          <w:sz w:val="26"/>
          <w:szCs w:val="26"/>
        </w:rPr>
        <w:fldChar w:fldCharType="begin"/>
      </w:r>
      <w:r>
        <w:rPr>
          <w:b w:val="0"/>
          <w:sz w:val="26"/>
          <w:szCs w:val="26"/>
        </w:rPr>
        <w:instrText xml:space="preserve"> PAGEREF _Toc82012405 \h </w:instrText>
      </w:r>
      <w:r>
        <w:rPr>
          <w:b w:val="0"/>
          <w:sz w:val="26"/>
          <w:szCs w:val="26"/>
        </w:rPr>
        <w:fldChar w:fldCharType="separate"/>
      </w:r>
      <w:r>
        <w:rPr>
          <w:b w:val="0"/>
          <w:sz w:val="26"/>
          <w:szCs w:val="26"/>
        </w:rPr>
        <w:t>4</w:t>
      </w:r>
      <w:r>
        <w:rPr>
          <w:b w:val="0"/>
          <w:sz w:val="26"/>
          <w:szCs w:val="26"/>
        </w:rPr>
        <w:fldChar w:fldCharType="end"/>
      </w:r>
      <w:r>
        <w:rPr>
          <w:b w:val="0"/>
          <w:sz w:val="26"/>
          <w:szCs w:val="26"/>
        </w:rP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"_Toc82012406" </w:instrText>
      </w:r>
      <w:r>
        <w:fldChar w:fldCharType="separate"/>
      </w:r>
      <w:r>
        <w:rPr>
          <w:rStyle w:val="21"/>
          <w:rFonts w:hint="eastAsia" w:ascii="黑体" w:hAnsi="黑体" w:eastAsia="黑体"/>
          <w:u w:val="none"/>
        </w:rPr>
        <w:t>一、基本职能及主要工作</w:t>
      </w:r>
      <w:r>
        <w:tab/>
      </w:r>
      <w:r>
        <w:fldChar w:fldCharType="begin"/>
      </w:r>
      <w:r>
        <w:instrText xml:space="preserve"> PAGEREF _Toc82012406 \h </w:instrText>
      </w:r>
      <w:r>
        <w:fldChar w:fldCharType="separate"/>
      </w:r>
      <w:r>
        <w:t>4</w:t>
      </w:r>
      <w:r>
        <w:fldChar w:fldCharType="end"/>
      </w:r>
      <w: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"_Toc82012407" </w:instrText>
      </w:r>
      <w:r>
        <w:fldChar w:fldCharType="separate"/>
      </w:r>
      <w:r>
        <w:rPr>
          <w:rStyle w:val="21"/>
          <w:rFonts w:hint="eastAsia" w:hAnsi="仿宋_GB2312" w:cs="仿宋_GB2312"/>
          <w:bCs/>
          <w:i w:val="0"/>
          <w:u w:val="none"/>
        </w:rPr>
        <w:t>（一）主要职能</w:t>
      </w:r>
      <w:r>
        <w:rPr>
          <w:i w:val="0"/>
        </w:rPr>
        <w:tab/>
      </w:r>
      <w:r>
        <w:rPr>
          <w:i w:val="0"/>
        </w:rPr>
        <w:fldChar w:fldCharType="begin"/>
      </w:r>
      <w:r>
        <w:rPr>
          <w:i w:val="0"/>
        </w:rPr>
        <w:instrText xml:space="preserve"> PAGEREF _Toc82012407 \h </w:instrText>
      </w:r>
      <w:r>
        <w:rPr>
          <w:i w:val="0"/>
        </w:rPr>
        <w:fldChar w:fldCharType="separate"/>
      </w:r>
      <w:r>
        <w:rPr>
          <w:i w:val="0"/>
        </w:rPr>
        <w:t>4</w:t>
      </w:r>
      <w:r>
        <w:rPr>
          <w:i w:val="0"/>
        </w:rPr>
        <w:fldChar w:fldCharType="end"/>
      </w:r>
      <w:r>
        <w:rPr>
          <w:i w:val="0"/>
        </w:rP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"_Toc82012408" </w:instrText>
      </w:r>
      <w:r>
        <w:fldChar w:fldCharType="separate"/>
      </w:r>
      <w:r>
        <w:rPr>
          <w:rStyle w:val="21"/>
          <w:rFonts w:hint="eastAsia" w:hAnsi="仿宋_GB2312" w:cs="仿宋_GB2312"/>
          <w:bCs/>
          <w:i w:val="0"/>
          <w:u w:val="none"/>
        </w:rPr>
        <w:t>（二）</w:t>
      </w:r>
      <w:r>
        <w:rPr>
          <w:rStyle w:val="21"/>
          <w:rFonts w:hAnsi="仿宋_GB2312" w:cs="仿宋_GB2312"/>
          <w:bCs/>
          <w:i w:val="0"/>
          <w:u w:val="none"/>
        </w:rPr>
        <w:t>2020</w:t>
      </w:r>
      <w:r>
        <w:rPr>
          <w:rStyle w:val="21"/>
          <w:rFonts w:hint="eastAsia" w:hAnsi="仿宋_GB2312" w:cs="仿宋_GB2312"/>
          <w:bCs/>
          <w:i w:val="0"/>
          <w:u w:val="none"/>
        </w:rPr>
        <w:t>年重点工作完成情况</w:t>
      </w:r>
      <w:r>
        <w:rPr>
          <w:i w:val="0"/>
        </w:rPr>
        <w:tab/>
      </w:r>
      <w:r>
        <w:rPr>
          <w:i w:val="0"/>
        </w:rPr>
        <w:fldChar w:fldCharType="begin"/>
      </w:r>
      <w:r>
        <w:rPr>
          <w:i w:val="0"/>
        </w:rPr>
        <w:instrText xml:space="preserve"> PAGEREF _Toc82012408 \h </w:instrText>
      </w:r>
      <w:r>
        <w:rPr>
          <w:i w:val="0"/>
        </w:rPr>
        <w:fldChar w:fldCharType="separate"/>
      </w:r>
      <w:r>
        <w:rPr>
          <w:i w:val="0"/>
        </w:rPr>
        <w:t>4</w:t>
      </w:r>
      <w:r>
        <w:rPr>
          <w:i w:val="0"/>
        </w:rPr>
        <w:fldChar w:fldCharType="end"/>
      </w:r>
      <w:r>
        <w:rPr>
          <w:i w:val="0"/>
        </w:rP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"_Toc82012409" </w:instrText>
      </w:r>
      <w:r>
        <w:fldChar w:fldCharType="separate"/>
      </w:r>
      <w:r>
        <w:rPr>
          <w:rStyle w:val="21"/>
          <w:rFonts w:hint="eastAsia" w:ascii="黑体" w:eastAsia="黑体"/>
          <w:u w:val="none"/>
        </w:rPr>
        <w:t>二、</w:t>
      </w:r>
      <w:r>
        <w:rPr>
          <w:rStyle w:val="21"/>
          <w:rFonts w:hint="eastAsia" w:ascii="黑体" w:hAnsi="黑体" w:eastAsia="黑体"/>
          <w:u w:val="none"/>
        </w:rPr>
        <w:t>机构设置</w:t>
      </w:r>
      <w:r>
        <w:tab/>
      </w:r>
      <w:r>
        <w:fldChar w:fldCharType="begin"/>
      </w:r>
      <w:r>
        <w:instrText xml:space="preserve"> PAGEREF _Toc82012409 \h </w:instrText>
      </w:r>
      <w:r>
        <w:fldChar w:fldCharType="separate"/>
      </w:r>
      <w:r>
        <w:t>5</w:t>
      </w:r>
      <w:r>
        <w:fldChar w:fldCharType="end"/>
      </w:r>
      <w:r>
        <w:fldChar w:fldCharType="end"/>
      </w:r>
    </w:p>
    <w:p>
      <w:pPr>
        <w:pStyle w:val="13"/>
        <w:tabs>
          <w:tab w:val="right" w:leader="dot" w:pos="8296"/>
        </w:tabs>
        <w:spacing w:line="400" w:lineRule="exact"/>
        <w:rPr>
          <w:rFonts w:eastAsiaTheme="minorEastAsia" w:cstheme="minorBidi"/>
          <w:b w:val="0"/>
          <w:bCs w:val="0"/>
          <w:caps w:val="0"/>
          <w:sz w:val="26"/>
          <w:szCs w:val="26"/>
        </w:rPr>
      </w:pPr>
      <w:r>
        <w:fldChar w:fldCharType="begin"/>
      </w:r>
      <w:r>
        <w:instrText xml:space="preserve"> HYPERLINK \l "_Toc82012410" </w:instrText>
      </w:r>
      <w:r>
        <w:fldChar w:fldCharType="separate"/>
      </w:r>
      <w:r>
        <w:rPr>
          <w:rStyle w:val="21"/>
          <w:rFonts w:hint="eastAsia" w:ascii="方正小标宋简体" w:hAnsi="方正小标宋简体" w:eastAsia="方正小标宋简体" w:cs="方正小标宋简体"/>
          <w:b w:val="0"/>
          <w:sz w:val="26"/>
          <w:szCs w:val="26"/>
          <w:u w:val="none"/>
        </w:rPr>
        <w:t>第二部分</w:t>
      </w:r>
      <w:r>
        <w:rPr>
          <w:rStyle w:val="21"/>
          <w:rFonts w:ascii="方正小标宋简体" w:hAnsi="方正小标宋简体" w:eastAsia="方正小标宋简体" w:cs="方正小标宋简体"/>
          <w:b w:val="0"/>
          <w:sz w:val="26"/>
          <w:szCs w:val="26"/>
          <w:u w:val="none"/>
        </w:rPr>
        <w:t xml:space="preserve"> 2020</w:t>
      </w:r>
      <w:r>
        <w:rPr>
          <w:rStyle w:val="21"/>
          <w:rFonts w:hint="eastAsia" w:ascii="方正小标宋简体" w:hAnsi="方正小标宋简体" w:eastAsia="方正小标宋简体" w:cs="方正小标宋简体"/>
          <w:b w:val="0"/>
          <w:sz w:val="26"/>
          <w:szCs w:val="26"/>
          <w:u w:val="none"/>
        </w:rPr>
        <w:t>年度部门决算情况说明</w:t>
      </w:r>
      <w:r>
        <w:rPr>
          <w:b w:val="0"/>
          <w:sz w:val="26"/>
          <w:szCs w:val="26"/>
        </w:rPr>
        <w:tab/>
      </w:r>
      <w:r>
        <w:rPr>
          <w:b w:val="0"/>
          <w:sz w:val="26"/>
          <w:szCs w:val="26"/>
        </w:rPr>
        <w:fldChar w:fldCharType="begin"/>
      </w:r>
      <w:r>
        <w:rPr>
          <w:b w:val="0"/>
          <w:sz w:val="26"/>
          <w:szCs w:val="26"/>
        </w:rPr>
        <w:instrText xml:space="preserve"> PAGEREF _Toc82012410 \h </w:instrText>
      </w:r>
      <w:r>
        <w:rPr>
          <w:b w:val="0"/>
          <w:sz w:val="26"/>
          <w:szCs w:val="26"/>
        </w:rPr>
        <w:fldChar w:fldCharType="separate"/>
      </w:r>
      <w:r>
        <w:rPr>
          <w:b w:val="0"/>
          <w:sz w:val="26"/>
          <w:szCs w:val="26"/>
        </w:rPr>
        <w:t>5</w:t>
      </w:r>
      <w:r>
        <w:rPr>
          <w:b w:val="0"/>
          <w:sz w:val="26"/>
          <w:szCs w:val="26"/>
        </w:rPr>
        <w:fldChar w:fldCharType="end"/>
      </w:r>
      <w:r>
        <w:rPr>
          <w:b w:val="0"/>
          <w:sz w:val="26"/>
          <w:szCs w:val="26"/>
        </w:rP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"_Toc82012411" </w:instrText>
      </w:r>
      <w:r>
        <w:fldChar w:fldCharType="separate"/>
      </w:r>
      <w:r>
        <w:rPr>
          <w:rStyle w:val="21"/>
          <w:rFonts w:hint="eastAsia" w:ascii="黑体" w:hAnsi="黑体" w:eastAsia="黑体"/>
          <w:u w:val="none"/>
        </w:rPr>
        <w:t>一、收</w:t>
      </w:r>
      <w:r>
        <w:rPr>
          <w:rStyle w:val="21"/>
          <w:rFonts w:hint="eastAsia" w:ascii="黑体" w:hAnsi="黑体" w:eastAsia="黑体"/>
          <w:bCs/>
          <w:u w:val="none"/>
        </w:rPr>
        <w:t>入支出决算总体情况说明</w:t>
      </w:r>
      <w:r>
        <w:tab/>
      </w:r>
      <w:r>
        <w:fldChar w:fldCharType="begin"/>
      </w:r>
      <w:r>
        <w:instrText xml:space="preserve"> PAGEREF _Toc82012411 \h </w:instrText>
      </w:r>
      <w:r>
        <w:fldChar w:fldCharType="separate"/>
      </w:r>
      <w:r>
        <w:t>5</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"_Toc82012412" </w:instrText>
      </w:r>
      <w:r>
        <w:fldChar w:fldCharType="separate"/>
      </w:r>
      <w:r>
        <w:rPr>
          <w:rStyle w:val="21"/>
          <w:rFonts w:hint="eastAsia" w:ascii="黑体" w:hAnsi="黑体" w:eastAsia="黑体"/>
          <w:u w:val="none"/>
        </w:rPr>
        <w:t>二、收</w:t>
      </w:r>
      <w:r>
        <w:rPr>
          <w:rStyle w:val="21"/>
          <w:rFonts w:hint="eastAsia" w:ascii="黑体" w:hAnsi="黑体" w:eastAsia="黑体"/>
          <w:bCs/>
          <w:u w:val="none"/>
        </w:rPr>
        <w:t>入决算情况说明</w:t>
      </w:r>
      <w:r>
        <w:tab/>
      </w:r>
      <w:r>
        <w:fldChar w:fldCharType="begin"/>
      </w:r>
      <w:r>
        <w:instrText xml:space="preserve"> PAGEREF _Toc82012412 \h </w:instrText>
      </w:r>
      <w:r>
        <w:fldChar w:fldCharType="separate"/>
      </w:r>
      <w:r>
        <w:t>6</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"_Toc82012414" </w:instrText>
      </w:r>
      <w:r>
        <w:fldChar w:fldCharType="separate"/>
      </w:r>
      <w:r>
        <w:rPr>
          <w:rStyle w:val="21"/>
          <w:rFonts w:hint="eastAsia" w:ascii="黑体" w:hAnsi="黑体" w:eastAsia="黑体"/>
          <w:u w:val="none"/>
        </w:rPr>
        <w:t>三、支</w:t>
      </w:r>
      <w:r>
        <w:rPr>
          <w:rStyle w:val="21"/>
          <w:rFonts w:hint="eastAsia" w:ascii="黑体" w:hAnsi="黑体" w:eastAsia="黑体"/>
          <w:bCs/>
          <w:u w:val="none"/>
        </w:rPr>
        <w:t>出决算情况说明</w:t>
      </w:r>
      <w:r>
        <w:tab/>
      </w:r>
      <w:r>
        <w:fldChar w:fldCharType="begin"/>
      </w:r>
      <w:r>
        <w:instrText xml:space="preserve"> PAGEREF _Toc82012414 \h </w:instrText>
      </w:r>
      <w:r>
        <w:fldChar w:fldCharType="separate"/>
      </w:r>
      <w:r>
        <w:t>6</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"_Toc82012415" </w:instrText>
      </w:r>
      <w:r>
        <w:fldChar w:fldCharType="separate"/>
      </w:r>
      <w:r>
        <w:rPr>
          <w:rStyle w:val="21"/>
          <w:rFonts w:hint="eastAsia" w:ascii="黑体" w:hAnsi="黑体" w:eastAsia="黑体"/>
          <w:u w:val="none"/>
        </w:rPr>
        <w:t>四、财</w:t>
      </w:r>
      <w:r>
        <w:rPr>
          <w:rStyle w:val="21"/>
          <w:rFonts w:hint="eastAsia" w:ascii="黑体" w:hAnsi="黑体" w:eastAsia="黑体"/>
          <w:bCs/>
          <w:u w:val="none"/>
        </w:rPr>
        <w:t>政拨款收入支出决算总体情况说明</w:t>
      </w:r>
      <w:r>
        <w:tab/>
      </w:r>
      <w:r>
        <w:fldChar w:fldCharType="begin"/>
      </w:r>
      <w:r>
        <w:instrText xml:space="preserve"> PAGEREF _Toc82012415 \h </w:instrText>
      </w:r>
      <w:r>
        <w:fldChar w:fldCharType="separate"/>
      </w:r>
      <w:r>
        <w:t>7</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"_Toc82012416" </w:instrText>
      </w:r>
      <w:r>
        <w:fldChar w:fldCharType="separate"/>
      </w:r>
      <w:r>
        <w:rPr>
          <w:rStyle w:val="21"/>
          <w:rFonts w:hint="eastAsia" w:ascii="黑体" w:hAnsi="黑体" w:eastAsia="黑体"/>
          <w:u w:val="none"/>
        </w:rPr>
        <w:t>五、一</w:t>
      </w:r>
      <w:r>
        <w:rPr>
          <w:rStyle w:val="21"/>
          <w:rFonts w:hint="eastAsia" w:ascii="黑体" w:hAnsi="黑体" w:eastAsia="黑体"/>
          <w:bCs/>
          <w:u w:val="none"/>
        </w:rPr>
        <w:t>般公共预算财政拨款支出决算情况说明</w:t>
      </w:r>
      <w:r>
        <w:tab/>
      </w:r>
      <w:r>
        <w:fldChar w:fldCharType="begin"/>
      </w:r>
      <w:r>
        <w:instrText xml:space="preserve"> PAGEREF _Toc82012416 \h </w:instrText>
      </w:r>
      <w:r>
        <w:fldChar w:fldCharType="separate"/>
      </w:r>
      <w:r>
        <w:t>7</w:t>
      </w:r>
      <w:r>
        <w:fldChar w:fldCharType="end"/>
      </w:r>
      <w: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"_Toc82012417" </w:instrText>
      </w:r>
      <w:r>
        <w:fldChar w:fldCharType="separate"/>
      </w:r>
      <w:r>
        <w:rPr>
          <w:rStyle w:val="21"/>
          <w:rFonts w:hint="eastAsia" w:ascii="楷体_GB2312" w:hAnsi="楷体_GB2312" w:eastAsia="楷体_GB2312" w:cs="楷体_GB2312"/>
          <w:bCs/>
          <w:i w:val="0"/>
          <w:u w:val="none"/>
        </w:rPr>
        <w:t>（一）一般公共预算财政拨款支出决算总体情况</w:t>
      </w:r>
      <w:r>
        <w:rPr>
          <w:i w:val="0"/>
        </w:rPr>
        <w:tab/>
      </w:r>
      <w:r>
        <w:rPr>
          <w:i w:val="0"/>
        </w:rPr>
        <w:fldChar w:fldCharType="begin"/>
      </w:r>
      <w:r>
        <w:rPr>
          <w:i w:val="0"/>
        </w:rPr>
        <w:instrText xml:space="preserve"> PAGEREF _Toc82012417 \h </w:instrText>
      </w:r>
      <w:r>
        <w:rPr>
          <w:i w:val="0"/>
        </w:rPr>
        <w:fldChar w:fldCharType="separate"/>
      </w:r>
      <w:r>
        <w:rPr>
          <w:i w:val="0"/>
        </w:rPr>
        <w:t>7</w:t>
      </w:r>
      <w:r>
        <w:rPr>
          <w:i w:val="0"/>
        </w:rPr>
        <w:fldChar w:fldCharType="end"/>
      </w:r>
      <w:r>
        <w:rPr>
          <w:i w:val="0"/>
        </w:rP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"_Toc82012418" </w:instrText>
      </w:r>
      <w:r>
        <w:fldChar w:fldCharType="separate"/>
      </w:r>
      <w:r>
        <w:rPr>
          <w:rStyle w:val="21"/>
          <w:rFonts w:hint="eastAsia" w:ascii="楷体_GB2312" w:hAnsi="仿宋" w:eastAsia="楷体_GB2312"/>
          <w:i w:val="0"/>
          <w:u w:val="none"/>
        </w:rPr>
        <w:t>（二）一般公共预算财政拨款支出决算结构情况</w:t>
      </w:r>
      <w:r>
        <w:rPr>
          <w:i w:val="0"/>
        </w:rPr>
        <w:tab/>
      </w:r>
      <w:r>
        <w:rPr>
          <w:i w:val="0"/>
        </w:rPr>
        <w:fldChar w:fldCharType="begin"/>
      </w:r>
      <w:r>
        <w:rPr>
          <w:i w:val="0"/>
        </w:rPr>
        <w:instrText xml:space="preserve"> PAGEREF _Toc82012418 \h </w:instrText>
      </w:r>
      <w:r>
        <w:rPr>
          <w:i w:val="0"/>
        </w:rPr>
        <w:fldChar w:fldCharType="separate"/>
      </w:r>
      <w:r>
        <w:rPr>
          <w:i w:val="0"/>
        </w:rPr>
        <w:t>8</w:t>
      </w:r>
      <w:r>
        <w:rPr>
          <w:i w:val="0"/>
        </w:rPr>
        <w:fldChar w:fldCharType="end"/>
      </w:r>
      <w:r>
        <w:rPr>
          <w:i w:val="0"/>
        </w:rP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"_Toc82012419" </w:instrText>
      </w:r>
      <w:r>
        <w:fldChar w:fldCharType="separate"/>
      </w:r>
      <w:r>
        <w:rPr>
          <w:rStyle w:val="21"/>
          <w:rFonts w:hint="eastAsia" w:ascii="楷体_GB2312" w:hAnsi="仿宋" w:eastAsia="楷体_GB2312"/>
          <w:i w:val="0"/>
          <w:u w:val="none"/>
        </w:rPr>
        <w:t>（三）一般公共预算财政拨款支出决算具体情况</w:t>
      </w:r>
      <w:r>
        <w:rPr>
          <w:i w:val="0"/>
        </w:rPr>
        <w:tab/>
      </w:r>
      <w:r>
        <w:rPr>
          <w:i w:val="0"/>
        </w:rPr>
        <w:fldChar w:fldCharType="begin"/>
      </w:r>
      <w:r>
        <w:rPr>
          <w:i w:val="0"/>
        </w:rPr>
        <w:instrText xml:space="preserve"> PAGEREF _Toc82012419 \h </w:instrText>
      </w:r>
      <w:r>
        <w:rPr>
          <w:i w:val="0"/>
        </w:rPr>
        <w:fldChar w:fldCharType="separate"/>
      </w:r>
      <w:r>
        <w:rPr>
          <w:i w:val="0"/>
        </w:rPr>
        <w:t>8</w:t>
      </w:r>
      <w:r>
        <w:rPr>
          <w:i w:val="0"/>
        </w:rPr>
        <w:fldChar w:fldCharType="end"/>
      </w:r>
      <w:r>
        <w:rPr>
          <w:i w:val="0"/>
        </w:rP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"_Toc82012420" </w:instrText>
      </w:r>
      <w:r>
        <w:fldChar w:fldCharType="separate"/>
      </w:r>
      <w:r>
        <w:rPr>
          <w:rStyle w:val="21"/>
          <w:rFonts w:hint="eastAsia" w:ascii="黑体" w:eastAsia="黑体"/>
          <w:u w:val="none"/>
        </w:rPr>
        <w:t>六、</w:t>
      </w:r>
      <w:r>
        <w:rPr>
          <w:rStyle w:val="21"/>
          <w:rFonts w:hint="eastAsia" w:ascii="黑体" w:hAnsi="黑体" w:eastAsia="黑体"/>
          <w:u w:val="none"/>
        </w:rPr>
        <w:t>一</w:t>
      </w:r>
      <w:r>
        <w:rPr>
          <w:rStyle w:val="21"/>
          <w:rFonts w:hint="eastAsia" w:ascii="黑体" w:hAnsi="黑体" w:eastAsia="黑体"/>
          <w:bCs/>
          <w:u w:val="none"/>
        </w:rPr>
        <w:t>般公共预算财政拨款基本支出决算情况说明</w:t>
      </w:r>
      <w:r>
        <w:tab/>
      </w:r>
      <w:r>
        <w:fldChar w:fldCharType="begin"/>
      </w:r>
      <w:r>
        <w:instrText xml:space="preserve"> PAGEREF _Toc82012420 \h </w:instrText>
      </w:r>
      <w:r>
        <w:fldChar w:fldCharType="separate"/>
      </w:r>
      <w:r>
        <w:t>9</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"_Toc82012421" </w:instrText>
      </w:r>
      <w:r>
        <w:fldChar w:fldCharType="separate"/>
      </w:r>
      <w:r>
        <w:rPr>
          <w:rStyle w:val="21"/>
          <w:rFonts w:hint="eastAsia" w:ascii="黑体" w:eastAsia="黑体"/>
          <w:u w:val="none"/>
        </w:rPr>
        <w:t>七、</w:t>
      </w:r>
      <w:r>
        <w:rPr>
          <w:rStyle w:val="21"/>
          <w:rFonts w:ascii="黑体" w:hAnsi="黑体" w:eastAsia="黑体"/>
          <w:bCs/>
          <w:u w:val="none"/>
        </w:rPr>
        <w:t>“</w:t>
      </w:r>
      <w:r>
        <w:rPr>
          <w:rStyle w:val="21"/>
          <w:rFonts w:hint="eastAsia" w:ascii="黑体" w:hAnsi="黑体" w:eastAsia="黑体"/>
          <w:bCs/>
          <w:u w:val="none"/>
        </w:rPr>
        <w:t>三公”经费财政拨款支出决算情况说明</w:t>
      </w:r>
      <w:r>
        <w:tab/>
      </w:r>
      <w:r>
        <w:fldChar w:fldCharType="begin"/>
      </w:r>
      <w:r>
        <w:instrText xml:space="preserve"> PAGEREF _Toc82012421 \h </w:instrText>
      </w:r>
      <w:r>
        <w:fldChar w:fldCharType="separate"/>
      </w:r>
      <w:r>
        <w:t>10</w:t>
      </w:r>
      <w:r>
        <w:fldChar w:fldCharType="end"/>
      </w:r>
      <w: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"_Toc82012422" </w:instrText>
      </w:r>
      <w:r>
        <w:fldChar w:fldCharType="separate"/>
      </w:r>
      <w:r>
        <w:rPr>
          <w:rStyle w:val="21"/>
          <w:rFonts w:hint="eastAsia" w:ascii="楷体_GB2312" w:hAnsi="仿宋" w:eastAsia="楷体_GB2312"/>
          <w:i w:val="0"/>
          <w:u w:val="none"/>
        </w:rPr>
        <w:t>（一）“三公”经费财政拨款支出决算总体情况说明</w:t>
      </w:r>
      <w:r>
        <w:rPr>
          <w:i w:val="0"/>
        </w:rPr>
        <w:tab/>
      </w:r>
      <w:r>
        <w:rPr>
          <w:i w:val="0"/>
        </w:rPr>
        <w:fldChar w:fldCharType="begin"/>
      </w:r>
      <w:r>
        <w:rPr>
          <w:i w:val="0"/>
        </w:rPr>
        <w:instrText xml:space="preserve"> PAGEREF _Toc82012422 \h </w:instrText>
      </w:r>
      <w:r>
        <w:rPr>
          <w:i w:val="0"/>
        </w:rPr>
        <w:fldChar w:fldCharType="separate"/>
      </w:r>
      <w:r>
        <w:rPr>
          <w:i w:val="0"/>
        </w:rPr>
        <w:t>10</w:t>
      </w:r>
      <w:r>
        <w:rPr>
          <w:i w:val="0"/>
        </w:rPr>
        <w:fldChar w:fldCharType="end"/>
      </w:r>
      <w:r>
        <w:rPr>
          <w:i w:val="0"/>
        </w:rP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"_Toc82012423" </w:instrText>
      </w:r>
      <w:r>
        <w:fldChar w:fldCharType="separate"/>
      </w:r>
      <w:r>
        <w:rPr>
          <w:rStyle w:val="21"/>
          <w:rFonts w:hint="eastAsia" w:ascii="楷体_GB2312" w:hAnsi="仿宋" w:eastAsia="楷体_GB2312"/>
          <w:i w:val="0"/>
          <w:u w:val="none"/>
        </w:rPr>
        <w:t>（二）“三公”经费财政拨款支出决算具体情况说明</w:t>
      </w:r>
      <w:r>
        <w:rPr>
          <w:i w:val="0"/>
        </w:rPr>
        <w:tab/>
      </w:r>
      <w:r>
        <w:rPr>
          <w:i w:val="0"/>
        </w:rPr>
        <w:fldChar w:fldCharType="begin"/>
      </w:r>
      <w:r>
        <w:rPr>
          <w:i w:val="0"/>
        </w:rPr>
        <w:instrText xml:space="preserve"> PAGEREF _Toc82012423 \h </w:instrText>
      </w:r>
      <w:r>
        <w:rPr>
          <w:i w:val="0"/>
        </w:rPr>
        <w:fldChar w:fldCharType="separate"/>
      </w:r>
      <w:r>
        <w:rPr>
          <w:i w:val="0"/>
        </w:rPr>
        <w:t>10</w:t>
      </w:r>
      <w:r>
        <w:rPr>
          <w:i w:val="0"/>
        </w:rPr>
        <w:fldChar w:fldCharType="end"/>
      </w:r>
      <w:r>
        <w:rPr>
          <w:i w:val="0"/>
        </w:rP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"_Toc82012424" </w:instrText>
      </w:r>
      <w:r>
        <w:fldChar w:fldCharType="separate"/>
      </w:r>
      <w:r>
        <w:rPr>
          <w:rStyle w:val="21"/>
          <w:rFonts w:hint="eastAsia" w:ascii="黑体" w:eastAsia="黑体"/>
          <w:u w:val="none"/>
        </w:rPr>
        <w:t>八、</w:t>
      </w:r>
      <w:r>
        <w:rPr>
          <w:rStyle w:val="21"/>
          <w:rFonts w:hint="eastAsia" w:ascii="黑体" w:hAnsi="黑体" w:eastAsia="黑体"/>
          <w:bCs/>
          <w:u w:val="none"/>
        </w:rPr>
        <w:t>政府性基金预算支出决算情况说明</w:t>
      </w:r>
      <w:r>
        <w:tab/>
      </w:r>
      <w:r>
        <w:fldChar w:fldCharType="begin"/>
      </w:r>
      <w:r>
        <w:instrText xml:space="preserve"> PAGEREF _Toc82012424 \h </w:instrText>
      </w:r>
      <w:r>
        <w:fldChar w:fldCharType="separate"/>
      </w:r>
      <w:r>
        <w:t>11</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"_Toc82012425" </w:instrText>
      </w:r>
      <w:r>
        <w:fldChar w:fldCharType="separate"/>
      </w:r>
      <w:r>
        <w:rPr>
          <w:rStyle w:val="21"/>
          <w:rFonts w:hint="eastAsia" w:ascii="黑体" w:hAnsi="黑体" w:eastAsia="黑体"/>
          <w:bCs/>
          <w:u w:val="none"/>
        </w:rPr>
        <w:t>九、国有资本经营预算支出决算情况说明</w:t>
      </w:r>
      <w:r>
        <w:tab/>
      </w:r>
      <w:r>
        <w:fldChar w:fldCharType="begin"/>
      </w:r>
      <w:r>
        <w:instrText xml:space="preserve"> PAGEREF _Toc82012425 \h </w:instrText>
      </w:r>
      <w:r>
        <w:fldChar w:fldCharType="separate"/>
      </w:r>
      <w:r>
        <w:t>12</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"_Toc82012426" </w:instrText>
      </w:r>
      <w:r>
        <w:fldChar w:fldCharType="separate"/>
      </w:r>
      <w:r>
        <w:rPr>
          <w:rStyle w:val="21"/>
          <w:rFonts w:hint="eastAsia" w:ascii="黑体" w:hAnsi="黑体" w:eastAsia="黑体"/>
          <w:u w:val="none"/>
        </w:rPr>
        <w:t>十、</w:t>
      </w:r>
      <w:r>
        <w:rPr>
          <w:rStyle w:val="21"/>
          <w:rFonts w:hint="eastAsia" w:ascii="黑体" w:hAnsi="黑体" w:eastAsia="黑体"/>
          <w:bCs/>
          <w:u w:val="none"/>
        </w:rPr>
        <w:t>其他重要事项的情况说明</w:t>
      </w:r>
      <w:r>
        <w:tab/>
      </w:r>
      <w:r>
        <w:fldChar w:fldCharType="begin"/>
      </w:r>
      <w:r>
        <w:instrText xml:space="preserve"> PAGEREF _Toc82012426 \h </w:instrText>
      </w:r>
      <w:r>
        <w:fldChar w:fldCharType="separate"/>
      </w:r>
      <w:r>
        <w:t>12</w:t>
      </w:r>
      <w:r>
        <w:fldChar w:fldCharType="end"/>
      </w:r>
      <w: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"_Toc82012427" </w:instrText>
      </w:r>
      <w:r>
        <w:fldChar w:fldCharType="separate"/>
      </w:r>
      <w:r>
        <w:rPr>
          <w:rStyle w:val="21"/>
          <w:rFonts w:hint="eastAsia" w:ascii="楷体_GB2312" w:hAnsi="仿宋" w:eastAsia="楷体_GB2312"/>
          <w:i w:val="0"/>
          <w:u w:val="none"/>
        </w:rPr>
        <w:t>（一）机关运行经费支出情况</w:t>
      </w:r>
      <w:r>
        <w:rPr>
          <w:i w:val="0"/>
        </w:rPr>
        <w:tab/>
      </w:r>
      <w:r>
        <w:rPr>
          <w:i w:val="0"/>
        </w:rPr>
        <w:fldChar w:fldCharType="begin"/>
      </w:r>
      <w:r>
        <w:rPr>
          <w:i w:val="0"/>
        </w:rPr>
        <w:instrText xml:space="preserve"> PAGEREF _Toc82012427 \h </w:instrText>
      </w:r>
      <w:r>
        <w:rPr>
          <w:i w:val="0"/>
        </w:rPr>
        <w:fldChar w:fldCharType="separate"/>
      </w:r>
      <w:r>
        <w:rPr>
          <w:i w:val="0"/>
        </w:rPr>
        <w:t>12</w:t>
      </w:r>
      <w:r>
        <w:rPr>
          <w:i w:val="0"/>
        </w:rPr>
        <w:fldChar w:fldCharType="end"/>
      </w:r>
      <w:r>
        <w:rPr>
          <w:i w:val="0"/>
        </w:rP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"_Toc82012428" </w:instrText>
      </w:r>
      <w:r>
        <w:fldChar w:fldCharType="separate"/>
      </w:r>
      <w:r>
        <w:rPr>
          <w:rStyle w:val="21"/>
          <w:rFonts w:hint="eastAsia" w:ascii="楷体_GB2312" w:hAnsi="仿宋" w:eastAsia="楷体_GB2312"/>
          <w:i w:val="0"/>
          <w:u w:val="none"/>
        </w:rPr>
        <w:t>（二）政府采购支出情况</w:t>
      </w:r>
      <w:r>
        <w:rPr>
          <w:i w:val="0"/>
        </w:rPr>
        <w:tab/>
      </w:r>
      <w:r>
        <w:rPr>
          <w:i w:val="0"/>
        </w:rPr>
        <w:fldChar w:fldCharType="begin"/>
      </w:r>
      <w:r>
        <w:rPr>
          <w:i w:val="0"/>
        </w:rPr>
        <w:instrText xml:space="preserve"> PAGEREF _Toc82012428 \h </w:instrText>
      </w:r>
      <w:r>
        <w:rPr>
          <w:i w:val="0"/>
        </w:rPr>
        <w:fldChar w:fldCharType="separate"/>
      </w:r>
      <w:r>
        <w:rPr>
          <w:i w:val="0"/>
        </w:rPr>
        <w:t>12</w:t>
      </w:r>
      <w:r>
        <w:rPr>
          <w:i w:val="0"/>
        </w:rPr>
        <w:fldChar w:fldCharType="end"/>
      </w:r>
      <w:r>
        <w:rPr>
          <w:i w:val="0"/>
        </w:rP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"_Toc82012429" </w:instrText>
      </w:r>
      <w:r>
        <w:fldChar w:fldCharType="separate"/>
      </w:r>
      <w:r>
        <w:rPr>
          <w:rStyle w:val="21"/>
          <w:rFonts w:hint="eastAsia" w:ascii="楷体_GB2312" w:hAnsi="仿宋" w:eastAsia="楷体_GB2312"/>
          <w:i w:val="0"/>
          <w:u w:val="none"/>
        </w:rPr>
        <w:t>（三）国有资产占有使用情况</w:t>
      </w:r>
      <w:r>
        <w:rPr>
          <w:i w:val="0"/>
        </w:rPr>
        <w:tab/>
      </w:r>
      <w:r>
        <w:rPr>
          <w:i w:val="0"/>
        </w:rPr>
        <w:fldChar w:fldCharType="begin"/>
      </w:r>
      <w:r>
        <w:rPr>
          <w:i w:val="0"/>
        </w:rPr>
        <w:instrText xml:space="preserve"> PAGEREF _Toc82012429 \h </w:instrText>
      </w:r>
      <w:r>
        <w:rPr>
          <w:i w:val="0"/>
        </w:rPr>
        <w:fldChar w:fldCharType="separate"/>
      </w:r>
      <w:r>
        <w:rPr>
          <w:i w:val="0"/>
        </w:rPr>
        <w:t>12</w:t>
      </w:r>
      <w:r>
        <w:rPr>
          <w:i w:val="0"/>
        </w:rPr>
        <w:fldChar w:fldCharType="end"/>
      </w:r>
      <w:r>
        <w:rPr>
          <w:i w:val="0"/>
        </w:rPr>
        <w:fldChar w:fldCharType="end"/>
      </w:r>
    </w:p>
    <w:p>
      <w:pPr>
        <w:pStyle w:val="8"/>
        <w:tabs>
          <w:tab w:val="right" w:leader="dot" w:pos="8296"/>
        </w:tabs>
        <w:spacing w:line="400" w:lineRule="exact"/>
        <w:rPr>
          <w:rFonts w:eastAsiaTheme="minorEastAsia" w:cstheme="minorBidi"/>
          <w:i w:val="0"/>
          <w:iCs w:val="0"/>
          <w:sz w:val="21"/>
          <w:szCs w:val="22"/>
        </w:rPr>
      </w:pPr>
      <w:r>
        <w:fldChar w:fldCharType="begin"/>
      </w:r>
      <w:r>
        <w:instrText xml:space="preserve"> HYPERLINK \l "_Toc82012430" </w:instrText>
      </w:r>
      <w:r>
        <w:fldChar w:fldCharType="separate"/>
      </w:r>
      <w:r>
        <w:rPr>
          <w:rStyle w:val="21"/>
          <w:rFonts w:hint="eastAsia" w:ascii="楷体_GB2312" w:hAnsi="仿宋" w:eastAsia="楷体_GB2312"/>
          <w:i w:val="0"/>
          <w:u w:val="none"/>
        </w:rPr>
        <w:t>（四）预算绩效管理情况</w:t>
      </w:r>
      <w:r>
        <w:rPr>
          <w:i w:val="0"/>
        </w:rPr>
        <w:tab/>
      </w:r>
      <w:r>
        <w:rPr>
          <w:i w:val="0"/>
        </w:rPr>
        <w:fldChar w:fldCharType="begin"/>
      </w:r>
      <w:r>
        <w:rPr>
          <w:i w:val="0"/>
        </w:rPr>
        <w:instrText xml:space="preserve"> PAGEREF _Toc82012430 \h </w:instrText>
      </w:r>
      <w:r>
        <w:rPr>
          <w:i w:val="0"/>
        </w:rPr>
        <w:fldChar w:fldCharType="separate"/>
      </w:r>
      <w:r>
        <w:rPr>
          <w:i w:val="0"/>
        </w:rPr>
        <w:t>12</w:t>
      </w:r>
      <w:r>
        <w:rPr>
          <w:i w:val="0"/>
        </w:rPr>
        <w:fldChar w:fldCharType="end"/>
      </w:r>
      <w:r>
        <w:rPr>
          <w:i w:val="0"/>
        </w:rPr>
        <w:fldChar w:fldCharType="end"/>
      </w:r>
    </w:p>
    <w:p>
      <w:pPr>
        <w:pStyle w:val="13"/>
        <w:tabs>
          <w:tab w:val="right" w:leader="dot" w:pos="8296"/>
        </w:tabs>
        <w:spacing w:line="400" w:lineRule="exact"/>
        <w:rPr>
          <w:rFonts w:eastAsiaTheme="minorEastAsia" w:cstheme="minorBidi"/>
          <w:b w:val="0"/>
          <w:bCs w:val="0"/>
          <w:caps w:val="0"/>
          <w:sz w:val="26"/>
          <w:szCs w:val="26"/>
        </w:rPr>
      </w:pPr>
      <w:r>
        <w:fldChar w:fldCharType="begin"/>
      </w:r>
      <w:r>
        <w:instrText xml:space="preserve"> HYPERLINK \l "_Toc82012431" </w:instrText>
      </w:r>
      <w:r>
        <w:fldChar w:fldCharType="separate"/>
      </w:r>
      <w:r>
        <w:rPr>
          <w:rStyle w:val="21"/>
          <w:rFonts w:hint="eastAsia" w:ascii="方正小标宋简体" w:hAnsi="黑体" w:eastAsia="方正小标宋简体"/>
          <w:b w:val="0"/>
          <w:sz w:val="26"/>
          <w:szCs w:val="26"/>
          <w:u w:val="none"/>
        </w:rPr>
        <w:t>第三部分</w:t>
      </w:r>
      <w:r>
        <w:rPr>
          <w:rStyle w:val="21"/>
          <w:rFonts w:ascii="方正小标宋简体" w:hAnsi="黑体" w:eastAsia="方正小标宋简体"/>
          <w:b w:val="0"/>
          <w:sz w:val="26"/>
          <w:szCs w:val="26"/>
          <w:u w:val="none"/>
        </w:rPr>
        <w:t xml:space="preserve"> </w:t>
      </w:r>
      <w:r>
        <w:rPr>
          <w:rStyle w:val="21"/>
          <w:rFonts w:hint="eastAsia" w:ascii="方正小标宋简体" w:hAnsi="黑体" w:eastAsia="方正小标宋简体"/>
          <w:b w:val="0"/>
          <w:sz w:val="26"/>
          <w:szCs w:val="26"/>
          <w:u w:val="none"/>
        </w:rPr>
        <w:t>名</w:t>
      </w:r>
      <w:r>
        <w:rPr>
          <w:rStyle w:val="21"/>
          <w:rFonts w:hint="eastAsia" w:ascii="方正小标宋简体" w:hAnsi="黑体" w:eastAsia="方正小标宋简体"/>
          <w:b w:val="0"/>
          <w:kern w:val="44"/>
          <w:sz w:val="26"/>
          <w:szCs w:val="26"/>
          <w:u w:val="none"/>
        </w:rPr>
        <w:t>词解释</w:t>
      </w:r>
      <w:r>
        <w:rPr>
          <w:b w:val="0"/>
          <w:sz w:val="26"/>
          <w:szCs w:val="26"/>
        </w:rPr>
        <w:tab/>
      </w:r>
      <w:r>
        <w:rPr>
          <w:b w:val="0"/>
          <w:sz w:val="26"/>
          <w:szCs w:val="26"/>
        </w:rPr>
        <w:fldChar w:fldCharType="begin"/>
      </w:r>
      <w:r>
        <w:rPr>
          <w:b w:val="0"/>
          <w:sz w:val="26"/>
          <w:szCs w:val="26"/>
        </w:rPr>
        <w:instrText xml:space="preserve"> PAGEREF _Toc82012431 \h </w:instrText>
      </w:r>
      <w:r>
        <w:rPr>
          <w:b w:val="0"/>
          <w:sz w:val="26"/>
          <w:szCs w:val="26"/>
        </w:rPr>
        <w:fldChar w:fldCharType="separate"/>
      </w:r>
      <w:r>
        <w:rPr>
          <w:b w:val="0"/>
          <w:sz w:val="26"/>
          <w:szCs w:val="26"/>
        </w:rPr>
        <w:t>18</w:t>
      </w:r>
      <w:r>
        <w:rPr>
          <w:b w:val="0"/>
          <w:sz w:val="26"/>
          <w:szCs w:val="26"/>
        </w:rPr>
        <w:fldChar w:fldCharType="end"/>
      </w:r>
      <w:r>
        <w:rPr>
          <w:b w:val="0"/>
          <w:sz w:val="26"/>
          <w:szCs w:val="26"/>
        </w:rPr>
        <w:fldChar w:fldCharType="end"/>
      </w:r>
    </w:p>
    <w:p>
      <w:pPr>
        <w:pStyle w:val="13"/>
        <w:tabs>
          <w:tab w:val="right" w:leader="dot" w:pos="8296"/>
        </w:tabs>
        <w:spacing w:line="400" w:lineRule="exact"/>
        <w:rPr>
          <w:rFonts w:eastAsiaTheme="minorEastAsia" w:cstheme="minorBidi"/>
          <w:b w:val="0"/>
          <w:bCs w:val="0"/>
          <w:caps w:val="0"/>
          <w:sz w:val="26"/>
          <w:szCs w:val="26"/>
        </w:rPr>
      </w:pPr>
      <w:r>
        <w:fldChar w:fldCharType="begin"/>
      </w:r>
      <w:r>
        <w:instrText xml:space="preserve"> HYPERLINK \l "_Toc82012432" </w:instrText>
      </w:r>
      <w:r>
        <w:fldChar w:fldCharType="separate"/>
      </w:r>
      <w:r>
        <w:rPr>
          <w:rStyle w:val="21"/>
          <w:rFonts w:hint="eastAsia" w:ascii="方正小标宋简体" w:hAnsi="黑体" w:eastAsia="方正小标宋简体"/>
          <w:b w:val="0"/>
          <w:sz w:val="26"/>
          <w:szCs w:val="26"/>
          <w:u w:val="none"/>
        </w:rPr>
        <w:t>第</w:t>
      </w:r>
      <w:r>
        <w:rPr>
          <w:rStyle w:val="21"/>
          <w:rFonts w:hint="eastAsia" w:ascii="方正小标宋简体" w:hAnsi="黑体" w:eastAsia="方正小标宋简体"/>
          <w:b w:val="0"/>
          <w:kern w:val="44"/>
          <w:sz w:val="26"/>
          <w:szCs w:val="26"/>
          <w:u w:val="none"/>
        </w:rPr>
        <w:t>四部分</w:t>
      </w:r>
      <w:r>
        <w:rPr>
          <w:rStyle w:val="21"/>
          <w:rFonts w:ascii="方正小标宋简体" w:hAnsi="黑体" w:eastAsia="方正小标宋简体"/>
          <w:b w:val="0"/>
          <w:kern w:val="44"/>
          <w:sz w:val="26"/>
          <w:szCs w:val="26"/>
          <w:u w:val="none"/>
        </w:rPr>
        <w:t xml:space="preserve"> </w:t>
      </w:r>
      <w:r>
        <w:rPr>
          <w:rStyle w:val="21"/>
          <w:rFonts w:hint="eastAsia" w:ascii="方正小标宋简体" w:hAnsi="黑体" w:eastAsia="方正小标宋简体"/>
          <w:b w:val="0"/>
          <w:kern w:val="44"/>
          <w:sz w:val="26"/>
          <w:szCs w:val="26"/>
          <w:u w:val="none"/>
        </w:rPr>
        <w:t>附件</w:t>
      </w:r>
      <w:r>
        <w:rPr>
          <w:b w:val="0"/>
          <w:sz w:val="26"/>
          <w:szCs w:val="26"/>
        </w:rPr>
        <w:tab/>
      </w:r>
      <w:r>
        <w:rPr>
          <w:b w:val="0"/>
          <w:sz w:val="26"/>
          <w:szCs w:val="26"/>
        </w:rPr>
        <w:fldChar w:fldCharType="begin"/>
      </w:r>
      <w:r>
        <w:rPr>
          <w:b w:val="0"/>
          <w:sz w:val="26"/>
          <w:szCs w:val="26"/>
        </w:rPr>
        <w:instrText xml:space="preserve"> PAGEREF _Toc82012432 \h </w:instrText>
      </w:r>
      <w:r>
        <w:rPr>
          <w:b w:val="0"/>
          <w:sz w:val="26"/>
          <w:szCs w:val="26"/>
        </w:rPr>
        <w:fldChar w:fldCharType="separate"/>
      </w:r>
      <w:r>
        <w:rPr>
          <w:b w:val="0"/>
          <w:sz w:val="26"/>
          <w:szCs w:val="26"/>
        </w:rPr>
        <w:t>20</w:t>
      </w:r>
      <w:r>
        <w:rPr>
          <w:b w:val="0"/>
          <w:sz w:val="26"/>
          <w:szCs w:val="26"/>
        </w:rPr>
        <w:fldChar w:fldCharType="end"/>
      </w:r>
      <w:r>
        <w:rPr>
          <w:b w:val="0"/>
          <w:sz w:val="26"/>
          <w:szCs w:val="26"/>
        </w:rPr>
        <w:fldChar w:fldCharType="end"/>
      </w:r>
    </w:p>
    <w:p>
      <w:pPr>
        <w:pStyle w:val="13"/>
        <w:tabs>
          <w:tab w:val="right" w:leader="dot" w:pos="8296"/>
        </w:tabs>
        <w:spacing w:line="400" w:lineRule="exact"/>
        <w:rPr>
          <w:rFonts w:eastAsiaTheme="minorEastAsia" w:cstheme="minorBidi"/>
          <w:b w:val="0"/>
          <w:bCs w:val="0"/>
          <w:caps w:val="0"/>
          <w:sz w:val="21"/>
          <w:szCs w:val="22"/>
        </w:rPr>
      </w:pPr>
      <w:r>
        <w:fldChar w:fldCharType="begin"/>
      </w:r>
      <w:r>
        <w:instrText xml:space="preserve"> HYPERLINK \l "_Toc82012433" </w:instrText>
      </w:r>
      <w:r>
        <w:fldChar w:fldCharType="separate"/>
      </w:r>
      <w:r>
        <w:rPr>
          <w:rStyle w:val="21"/>
          <w:rFonts w:hint="eastAsia" w:ascii="黑体" w:hAnsi="黑体" w:eastAsia="黑体" w:cs="黑体"/>
          <w:b w:val="0"/>
          <w:u w:val="none"/>
        </w:rPr>
        <w:t>附件</w:t>
      </w:r>
      <w:r>
        <w:rPr>
          <w:rStyle w:val="21"/>
          <w:rFonts w:ascii="黑体" w:hAnsi="黑体" w:eastAsia="黑体" w:cs="黑体"/>
          <w:b w:val="0"/>
          <w:u w:val="none"/>
        </w:rPr>
        <w:t>1</w:t>
      </w:r>
      <w:r>
        <w:rPr>
          <w:b w:val="0"/>
        </w:rPr>
        <w:tab/>
      </w:r>
      <w:r>
        <w:rPr>
          <w:b w:val="0"/>
        </w:rPr>
        <w:fldChar w:fldCharType="begin"/>
      </w:r>
      <w:r>
        <w:rPr>
          <w:b w:val="0"/>
        </w:rPr>
        <w:instrText xml:space="preserve"> PAGEREF _Toc82012433 \h </w:instrText>
      </w:r>
      <w:r>
        <w:rPr>
          <w:b w:val="0"/>
        </w:rPr>
        <w:fldChar w:fldCharType="separate"/>
      </w:r>
      <w:r>
        <w:rPr>
          <w:b w:val="0"/>
        </w:rPr>
        <w:t>20</w:t>
      </w:r>
      <w:r>
        <w:rPr>
          <w:b w:val="0"/>
        </w:rPr>
        <w:fldChar w:fldCharType="end"/>
      </w:r>
      <w:r>
        <w:rPr>
          <w:b w:val="0"/>
        </w:rPr>
        <w:fldChar w:fldCharType="end"/>
      </w:r>
    </w:p>
    <w:p>
      <w:pPr>
        <w:pStyle w:val="13"/>
        <w:tabs>
          <w:tab w:val="right" w:leader="dot" w:pos="8296"/>
        </w:tabs>
        <w:spacing w:line="400" w:lineRule="exact"/>
        <w:rPr>
          <w:rFonts w:eastAsiaTheme="minorEastAsia" w:cstheme="minorBidi"/>
          <w:b w:val="0"/>
          <w:bCs w:val="0"/>
          <w:caps w:val="0"/>
          <w:sz w:val="26"/>
          <w:szCs w:val="26"/>
        </w:rPr>
      </w:pPr>
      <w:r>
        <w:fldChar w:fldCharType="begin"/>
      </w:r>
      <w:r>
        <w:instrText xml:space="preserve"> HYPERLINK \l "_Toc82012434" </w:instrText>
      </w:r>
      <w:r>
        <w:fldChar w:fldCharType="separate"/>
      </w:r>
      <w:r>
        <w:rPr>
          <w:rStyle w:val="21"/>
          <w:rFonts w:hint="eastAsia" w:ascii="方正小标宋简体" w:hAnsi="黑体" w:eastAsia="方正小标宋简体"/>
          <w:b w:val="0"/>
          <w:sz w:val="26"/>
          <w:szCs w:val="26"/>
          <w:u w:val="none"/>
        </w:rPr>
        <w:t>第</w:t>
      </w:r>
      <w:r>
        <w:rPr>
          <w:rStyle w:val="21"/>
          <w:rFonts w:hint="eastAsia" w:ascii="方正小标宋简体" w:hAnsi="黑体" w:eastAsia="方正小标宋简体"/>
          <w:b w:val="0"/>
          <w:kern w:val="44"/>
          <w:sz w:val="26"/>
          <w:szCs w:val="26"/>
          <w:u w:val="none"/>
        </w:rPr>
        <w:t>五部分</w:t>
      </w:r>
      <w:r>
        <w:rPr>
          <w:rStyle w:val="21"/>
          <w:rFonts w:ascii="方正小标宋简体" w:hAnsi="黑体" w:eastAsia="方正小标宋简体"/>
          <w:b w:val="0"/>
          <w:kern w:val="44"/>
          <w:sz w:val="26"/>
          <w:szCs w:val="26"/>
          <w:u w:val="none"/>
        </w:rPr>
        <w:t xml:space="preserve"> </w:t>
      </w:r>
      <w:r>
        <w:rPr>
          <w:rStyle w:val="21"/>
          <w:rFonts w:hint="eastAsia" w:ascii="方正小标宋简体" w:hAnsi="黑体" w:eastAsia="方正小标宋简体"/>
          <w:b w:val="0"/>
          <w:kern w:val="44"/>
          <w:sz w:val="26"/>
          <w:szCs w:val="26"/>
          <w:u w:val="none"/>
        </w:rPr>
        <w:t>附表</w:t>
      </w:r>
      <w:r>
        <w:rPr>
          <w:b w:val="0"/>
          <w:sz w:val="26"/>
          <w:szCs w:val="26"/>
        </w:rPr>
        <w:tab/>
      </w:r>
      <w:r>
        <w:rPr>
          <w:b w:val="0"/>
          <w:sz w:val="26"/>
          <w:szCs w:val="26"/>
        </w:rPr>
        <w:fldChar w:fldCharType="begin"/>
      </w:r>
      <w:r>
        <w:rPr>
          <w:b w:val="0"/>
          <w:sz w:val="26"/>
          <w:szCs w:val="26"/>
        </w:rPr>
        <w:instrText xml:space="preserve"> PAGEREF _Toc82012434 \h </w:instrText>
      </w:r>
      <w:r>
        <w:rPr>
          <w:b w:val="0"/>
          <w:sz w:val="26"/>
          <w:szCs w:val="26"/>
        </w:rPr>
        <w:fldChar w:fldCharType="separate"/>
      </w:r>
      <w:r>
        <w:rPr>
          <w:b w:val="0"/>
          <w:sz w:val="26"/>
          <w:szCs w:val="26"/>
        </w:rPr>
        <w:t>23</w:t>
      </w:r>
      <w:r>
        <w:rPr>
          <w:b w:val="0"/>
          <w:sz w:val="26"/>
          <w:szCs w:val="26"/>
        </w:rPr>
        <w:fldChar w:fldCharType="end"/>
      </w:r>
      <w:r>
        <w:rPr>
          <w:b w:val="0"/>
          <w:sz w:val="26"/>
          <w:szCs w:val="26"/>
        </w:rP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"_Toc82012435" </w:instrText>
      </w:r>
      <w:r>
        <w:fldChar w:fldCharType="separate"/>
      </w:r>
      <w:r>
        <w:rPr>
          <w:rStyle w:val="21"/>
          <w:rFonts w:hint="eastAsia" w:ascii="仿宋_GB2312" w:hAnsi="仿宋" w:eastAsia="仿宋_GB2312"/>
          <w:u w:val="none"/>
        </w:rPr>
        <w:t>一、收入支出决算总表</w:t>
      </w:r>
      <w:r>
        <w:tab/>
      </w:r>
      <w:r>
        <w:fldChar w:fldCharType="begin"/>
      </w:r>
      <w:r>
        <w:instrText xml:space="preserve"> PAGEREF _Toc82012435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"_Toc82012436" </w:instrText>
      </w:r>
      <w:r>
        <w:fldChar w:fldCharType="separate"/>
      </w:r>
      <w:r>
        <w:rPr>
          <w:rStyle w:val="21"/>
          <w:rFonts w:hint="eastAsia" w:ascii="仿宋_GB2312" w:hAnsi="仿宋" w:eastAsia="仿宋_GB2312"/>
          <w:u w:val="none"/>
        </w:rPr>
        <w:t>二、收入决算表</w:t>
      </w:r>
      <w:r>
        <w:tab/>
      </w:r>
      <w:r>
        <w:fldChar w:fldCharType="begin"/>
      </w:r>
      <w:r>
        <w:instrText xml:space="preserve"> PAGEREF _Toc82012436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"_Toc82012437" </w:instrText>
      </w:r>
      <w:r>
        <w:fldChar w:fldCharType="separate"/>
      </w:r>
      <w:r>
        <w:rPr>
          <w:rStyle w:val="21"/>
          <w:rFonts w:hint="eastAsia" w:ascii="仿宋_GB2312" w:hAnsi="仿宋" w:eastAsia="仿宋_GB2312"/>
          <w:u w:val="none"/>
        </w:rPr>
        <w:t>三、支出决算表</w:t>
      </w:r>
      <w:r>
        <w:tab/>
      </w:r>
      <w:r>
        <w:fldChar w:fldCharType="begin"/>
      </w:r>
      <w:r>
        <w:instrText xml:space="preserve"> PAGEREF _Toc82012437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"_Toc82012438" </w:instrText>
      </w:r>
      <w:r>
        <w:fldChar w:fldCharType="separate"/>
      </w:r>
      <w:r>
        <w:rPr>
          <w:rStyle w:val="21"/>
          <w:rFonts w:hint="eastAsia" w:ascii="仿宋_GB2312" w:hAnsi="仿宋" w:eastAsia="仿宋_GB2312"/>
          <w:u w:val="none"/>
        </w:rPr>
        <w:t>四、财政拨款收入支出决算总表</w:t>
      </w:r>
      <w:r>
        <w:tab/>
      </w:r>
      <w:r>
        <w:fldChar w:fldCharType="begin"/>
      </w:r>
      <w:r>
        <w:instrText xml:space="preserve"> PAGEREF _Toc82012438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"_Toc82012439" </w:instrText>
      </w:r>
      <w:r>
        <w:fldChar w:fldCharType="separate"/>
      </w:r>
      <w:r>
        <w:rPr>
          <w:rStyle w:val="21"/>
          <w:rFonts w:hint="eastAsia" w:ascii="仿宋_GB2312" w:hAnsi="仿宋" w:eastAsia="仿宋_GB2312"/>
          <w:u w:val="none"/>
        </w:rPr>
        <w:t>五、财政拨款支出决算明细表</w:t>
      </w:r>
      <w:r>
        <w:tab/>
      </w:r>
      <w:r>
        <w:fldChar w:fldCharType="begin"/>
      </w:r>
      <w:r>
        <w:instrText xml:space="preserve"> PAGEREF _Toc82012439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"_Toc82012440" </w:instrText>
      </w:r>
      <w:r>
        <w:fldChar w:fldCharType="separate"/>
      </w:r>
      <w:r>
        <w:rPr>
          <w:rStyle w:val="21"/>
          <w:rFonts w:hint="eastAsia" w:ascii="仿宋_GB2312" w:hAnsi="仿宋" w:eastAsia="仿宋_GB2312"/>
          <w:u w:val="none"/>
        </w:rPr>
        <w:t>六、一般公共预算财政拨款支出决算表</w:t>
      </w:r>
      <w:r>
        <w:tab/>
      </w:r>
      <w:r>
        <w:fldChar w:fldCharType="begin"/>
      </w:r>
      <w:r>
        <w:instrText xml:space="preserve"> PAGEREF _Toc82012440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"_Toc82012441" </w:instrText>
      </w:r>
      <w:r>
        <w:fldChar w:fldCharType="separate"/>
      </w:r>
      <w:r>
        <w:rPr>
          <w:rStyle w:val="21"/>
          <w:rFonts w:hint="eastAsia" w:ascii="仿宋_GB2312" w:hAnsi="仿宋" w:eastAsia="仿宋_GB2312"/>
          <w:u w:val="none"/>
        </w:rPr>
        <w:t>七、一般公共预算财政拨款支出决算明细表</w:t>
      </w:r>
      <w:r>
        <w:tab/>
      </w:r>
      <w:r>
        <w:fldChar w:fldCharType="begin"/>
      </w:r>
      <w:r>
        <w:instrText xml:space="preserve"> PAGEREF _Toc82012441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"_Toc82012442" </w:instrText>
      </w:r>
      <w:r>
        <w:fldChar w:fldCharType="separate"/>
      </w:r>
      <w:r>
        <w:rPr>
          <w:rStyle w:val="21"/>
          <w:rFonts w:hint="eastAsia" w:ascii="仿宋_GB2312" w:hAnsi="仿宋" w:eastAsia="仿宋_GB2312"/>
          <w:u w:val="none"/>
        </w:rPr>
        <w:t>八、一般公共预算财政拨款基本支出决算表</w:t>
      </w:r>
      <w:r>
        <w:tab/>
      </w:r>
      <w:r>
        <w:fldChar w:fldCharType="begin"/>
      </w:r>
      <w:r>
        <w:instrText xml:space="preserve"> PAGEREF _Toc82012442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"_Toc82012443" </w:instrText>
      </w:r>
      <w:r>
        <w:fldChar w:fldCharType="separate"/>
      </w:r>
      <w:r>
        <w:rPr>
          <w:rStyle w:val="21"/>
          <w:rFonts w:hint="eastAsia" w:ascii="仿宋_GB2312" w:hAnsi="仿宋" w:eastAsia="仿宋_GB2312"/>
          <w:u w:val="none"/>
        </w:rPr>
        <w:t>九、一般公共预算财政拨款项目支出决算表</w:t>
      </w:r>
      <w:r>
        <w:tab/>
      </w:r>
      <w:r>
        <w:fldChar w:fldCharType="begin"/>
      </w:r>
      <w:r>
        <w:instrText xml:space="preserve"> PAGEREF _Toc82012443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"_Toc82012444" </w:instrText>
      </w:r>
      <w:r>
        <w:fldChar w:fldCharType="separate"/>
      </w:r>
      <w:r>
        <w:rPr>
          <w:rStyle w:val="21"/>
          <w:rFonts w:hint="eastAsia" w:ascii="仿宋_GB2312" w:hAnsi="仿宋" w:eastAsia="仿宋_GB2312"/>
          <w:u w:val="none"/>
        </w:rPr>
        <w:t>十、一般公共预算财政拨款“三公”经费支出决算表</w:t>
      </w:r>
      <w:r>
        <w:tab/>
      </w:r>
      <w:r>
        <w:fldChar w:fldCharType="begin"/>
      </w:r>
      <w:r>
        <w:instrText xml:space="preserve"> PAGEREF _Toc82012444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"_Toc82012445" </w:instrText>
      </w:r>
      <w:r>
        <w:fldChar w:fldCharType="separate"/>
      </w:r>
      <w:r>
        <w:rPr>
          <w:rStyle w:val="21"/>
          <w:rFonts w:hint="eastAsia" w:ascii="仿宋_GB2312" w:hAnsi="仿宋" w:eastAsia="仿宋_GB2312"/>
          <w:u w:val="none"/>
        </w:rPr>
        <w:t>十一、政府性基金预算财政拨款收入支出决算表</w:t>
      </w:r>
      <w:r>
        <w:tab/>
      </w:r>
      <w:r>
        <w:fldChar w:fldCharType="begin"/>
      </w:r>
      <w:r>
        <w:instrText xml:space="preserve"> PAGEREF _Toc82012445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"_Toc82012446" </w:instrText>
      </w:r>
      <w:r>
        <w:fldChar w:fldCharType="separate"/>
      </w:r>
      <w:r>
        <w:rPr>
          <w:rStyle w:val="21"/>
          <w:rFonts w:hint="eastAsia" w:ascii="仿宋_GB2312" w:hAnsi="仿宋" w:eastAsia="仿宋_GB2312"/>
          <w:u w:val="none"/>
        </w:rPr>
        <w:t>十二、政府性基金预算财政拨款“三公”经费支出决算表</w:t>
      </w:r>
      <w:r>
        <w:tab/>
      </w:r>
      <w:r>
        <w:fldChar w:fldCharType="begin"/>
      </w:r>
      <w:r>
        <w:instrText xml:space="preserve"> PAGEREF _Toc82012446 \h </w:instrText>
      </w:r>
      <w:r>
        <w:fldChar w:fldCharType="separate"/>
      </w:r>
      <w:r>
        <w:t>23</w:t>
      </w:r>
      <w:r>
        <w:fldChar w:fldCharType="end"/>
      </w:r>
      <w:r>
        <w:fldChar w:fldCharType="end"/>
      </w:r>
    </w:p>
    <w:p>
      <w:pPr>
        <w:pStyle w:val="16"/>
        <w:tabs>
          <w:tab w:val="right" w:leader="dot" w:pos="8296"/>
        </w:tabs>
        <w:spacing w:line="400" w:lineRule="exact"/>
        <w:rPr>
          <w:rFonts w:eastAsiaTheme="minorEastAsia" w:cstheme="minorBidi"/>
          <w:smallCaps w:val="0"/>
          <w:sz w:val="21"/>
          <w:szCs w:val="22"/>
        </w:rPr>
      </w:pPr>
      <w:r>
        <w:fldChar w:fldCharType="begin"/>
      </w:r>
      <w:r>
        <w:instrText xml:space="preserve"> HYPERLINK \l "_Toc82012447" </w:instrText>
      </w:r>
      <w:r>
        <w:fldChar w:fldCharType="separate"/>
      </w:r>
      <w:r>
        <w:rPr>
          <w:rStyle w:val="21"/>
          <w:rFonts w:hint="eastAsia" w:ascii="仿宋_GB2312" w:hAnsi="仿宋" w:eastAsia="仿宋_GB2312"/>
          <w:u w:val="none"/>
        </w:rPr>
        <w:t>十三、国有资本经营预算财政拨款支出决算表</w:t>
      </w:r>
      <w:r>
        <w:tab/>
      </w:r>
      <w:r>
        <w:fldChar w:fldCharType="begin"/>
      </w:r>
      <w:r>
        <w:instrText xml:space="preserve"> PAGEREF _Toc82012447 \h </w:instrText>
      </w:r>
      <w:r>
        <w:fldChar w:fldCharType="separate"/>
      </w:r>
      <w:r>
        <w:t>23</w:t>
      </w:r>
      <w:r>
        <w:fldChar w:fldCharType="end"/>
      </w:r>
      <w:r>
        <w:fldChar w:fldCharType="end"/>
      </w:r>
    </w:p>
    <w:p>
      <w:r>
        <w:fldChar w:fldCharType="end"/>
      </w:r>
    </w:p>
    <w:p>
      <w:pPr>
        <w:widowControl/>
        <w:spacing w:line="440" w:lineRule="exact"/>
        <w:jc w:val="left"/>
        <w:rPr>
          <w:rFonts w:ascii="仿宋" w:hAnsi="仿宋" w:eastAsia="仿宋"/>
          <w:bCs/>
          <w:kern w:val="44"/>
          <w:sz w:val="24"/>
        </w:rPr>
      </w:pPr>
      <w:bookmarkStart w:id="18" w:name="_Toc15377196"/>
      <w:bookmarkStart w:id="19" w:name="_Toc15396599"/>
      <w:r>
        <w:rPr>
          <w:rFonts w:ascii="仿宋" w:hAnsi="仿宋" w:eastAsia="仿宋"/>
          <w:b/>
          <w:sz w:val="24"/>
        </w:rPr>
        <w:br w:type="page"/>
      </w:r>
    </w:p>
    <w:p>
      <w:pPr>
        <w:pStyle w:val="2"/>
        <w:spacing w:before="0" w:after="0" w:line="700" w:lineRule="exact"/>
        <w:jc w:val="center"/>
        <w:rPr>
          <w:rStyle w:val="22"/>
          <w:rFonts w:ascii="黑体" w:hAnsi="黑体" w:eastAsia="黑体"/>
          <w:b/>
          <w:bCs w:val="0"/>
        </w:rPr>
      </w:pPr>
      <w:bookmarkStart w:id="20" w:name="_Toc82012405"/>
      <w:r>
        <w:rPr>
          <w:rFonts w:hint="eastAsia" w:ascii="黑体" w:hAnsi="黑体" w:eastAsia="黑体"/>
          <w:b w:val="0"/>
        </w:rPr>
        <w:t>第一部分</w:t>
      </w:r>
      <w:r>
        <w:rPr>
          <w:rFonts w:ascii="黑体" w:hAnsi="黑体" w:eastAsia="黑体"/>
          <w:b w:val="0"/>
        </w:rPr>
        <w:t xml:space="preserve"> </w:t>
      </w:r>
      <w:r>
        <w:rPr>
          <w:rStyle w:val="22"/>
          <w:rFonts w:hint="eastAsia" w:ascii="黑体" w:hAnsi="黑体" w:eastAsia="黑体"/>
          <w:b w:val="0"/>
          <w:bCs w:val="0"/>
        </w:rPr>
        <w:t>部门概况</w:t>
      </w:r>
      <w:bookmarkEnd w:id="18"/>
      <w:bookmarkEnd w:id="19"/>
      <w:bookmarkEnd w:id="20"/>
    </w:p>
    <w:p>
      <w:pPr>
        <w:widowControl/>
        <w:jc w:val="left"/>
        <w:rPr>
          <w:rFonts w:ascii="黑体" w:eastAsia="黑体"/>
          <w:color w:val="000000"/>
          <w:sz w:val="32"/>
          <w:szCs w:val="32"/>
        </w:rPr>
      </w:pPr>
    </w:p>
    <w:p>
      <w:pPr>
        <w:pStyle w:val="3"/>
        <w:spacing w:before="0" w:after="0" w:line="560" w:lineRule="exact"/>
        <w:ind w:firstLine="640" w:firstLineChars="200"/>
        <w:rPr>
          <w:rStyle w:val="23"/>
          <w:rFonts w:ascii="仿宋" w:hAnsi="仿宋" w:eastAsia="仿宋"/>
          <w:b w:val="0"/>
          <w:bCs w:val="0"/>
        </w:rPr>
      </w:pPr>
      <w:bookmarkStart w:id="21" w:name="_Toc15377197"/>
      <w:bookmarkStart w:id="22" w:name="_Toc82012406"/>
      <w:bookmarkStart w:id="23" w:name="_Toc15396600"/>
      <w:r>
        <w:rPr>
          <w:rFonts w:hint="eastAsia" w:ascii="黑体" w:hAnsi="黑体" w:eastAsia="黑体"/>
          <w:b w:val="0"/>
          <w:color w:val="000000"/>
        </w:rPr>
        <w:t>一、基</w:t>
      </w:r>
      <w:r>
        <w:rPr>
          <w:rStyle w:val="23"/>
          <w:rFonts w:hint="eastAsia" w:ascii="黑体" w:hAnsi="黑体" w:eastAsia="黑体"/>
          <w:b w:val="0"/>
          <w:bCs w:val="0"/>
        </w:rPr>
        <w:t>本职能及主要工作</w:t>
      </w:r>
      <w:bookmarkEnd w:id="21"/>
      <w:bookmarkEnd w:id="22"/>
      <w:bookmarkEnd w:id="23"/>
    </w:p>
    <w:p>
      <w:pPr>
        <w:pStyle w:val="6"/>
        <w:adjustRightInd w:val="0"/>
        <w:snapToGrid w:val="0"/>
        <w:spacing w:beforeLines="0" w:line="560" w:lineRule="exact"/>
        <w:ind w:firstLine="640" w:firstLineChars="200"/>
        <w:outlineLvl w:val="2"/>
        <w:rPr>
          <w:rFonts w:hint="eastAsia" w:ascii="楷体_GB2312" w:hAnsi="楷体_GB2312" w:eastAsia="楷体_GB2312" w:cs="楷体_GB2312"/>
          <w:bCs/>
          <w:color w:val="000000"/>
          <w:sz w:val="32"/>
          <w:szCs w:val="32"/>
        </w:rPr>
      </w:pPr>
      <w:bookmarkStart w:id="24" w:name="_Toc82012407"/>
      <w:bookmarkStart w:id="25" w:name="_Toc15377198"/>
      <w:bookmarkStart w:id="26" w:name="_Toc15378445"/>
      <w:r>
        <w:rPr>
          <w:rFonts w:hint="eastAsia" w:ascii="楷体_GB2312" w:hAnsi="楷体_GB2312" w:eastAsia="楷体_GB2312" w:cs="楷体_GB2312"/>
          <w:bCs/>
          <w:color w:val="000000"/>
          <w:sz w:val="32"/>
          <w:szCs w:val="32"/>
        </w:rPr>
        <w:t>（一）主要职能</w:t>
      </w:r>
      <w:bookmarkEnd w:id="24"/>
      <w:bookmarkEnd w:id="25"/>
      <w:bookmarkEnd w:id="26"/>
    </w:p>
    <w:p>
      <w:pPr>
        <w:pStyle w:val="6"/>
        <w:adjustRightInd w:val="0"/>
        <w:snapToGrid w:val="0"/>
        <w:spacing w:beforeLines="0" w:line="560" w:lineRule="exact"/>
        <w:ind w:firstLine="640" w:firstLineChars="200"/>
        <w:rPr>
          <w:rFonts w:hAnsi="仿宋_GB2312" w:cs="仿宋_GB2312"/>
          <w:bCs/>
          <w:color w:val="000000"/>
          <w:sz w:val="32"/>
          <w:szCs w:val="32"/>
        </w:rPr>
      </w:pPr>
      <w:r>
        <w:rPr>
          <w:rFonts w:hint="eastAsia" w:hAnsi="仿宋_GB2312" w:cs="仿宋_GB2312"/>
          <w:bCs/>
          <w:color w:val="000000"/>
          <w:sz w:val="32"/>
          <w:szCs w:val="32"/>
        </w:rPr>
        <w:t>1.负责本行政区域内气象事业发展规划、计划及气象业务建设的组织实施；</w:t>
      </w:r>
    </w:p>
    <w:p>
      <w:pPr>
        <w:pStyle w:val="6"/>
        <w:adjustRightInd w:val="0"/>
        <w:snapToGrid w:val="0"/>
        <w:spacing w:beforeLines="0" w:line="560" w:lineRule="exact"/>
        <w:ind w:firstLine="640" w:firstLineChars="200"/>
        <w:rPr>
          <w:rFonts w:hAnsi="仿宋_GB2312" w:cs="仿宋_GB2312"/>
          <w:bCs/>
          <w:color w:val="000000"/>
          <w:sz w:val="32"/>
          <w:szCs w:val="32"/>
        </w:rPr>
      </w:pPr>
      <w:r>
        <w:rPr>
          <w:rFonts w:hint="eastAsia" w:hAnsi="仿宋_GB2312" w:cs="仿宋_GB2312"/>
          <w:bCs/>
          <w:color w:val="000000"/>
          <w:sz w:val="32"/>
          <w:szCs w:val="32"/>
        </w:rPr>
        <w:t>2.管理本行政区域内公众气象预报、灾害性天气警报以及农业气象预报、城市环境气象预报、火险气象等级预报等专业气象预报的发布；</w:t>
      </w:r>
    </w:p>
    <w:p>
      <w:pPr>
        <w:pStyle w:val="6"/>
        <w:adjustRightInd w:val="0"/>
        <w:snapToGrid w:val="0"/>
        <w:spacing w:beforeLines="0" w:line="560" w:lineRule="exact"/>
        <w:ind w:firstLine="640" w:firstLineChars="200"/>
        <w:rPr>
          <w:rFonts w:hAnsi="仿宋_GB2312" w:cs="仿宋_GB2312"/>
          <w:bCs/>
          <w:color w:val="000000"/>
          <w:sz w:val="32"/>
          <w:szCs w:val="32"/>
        </w:rPr>
      </w:pPr>
      <w:r>
        <w:rPr>
          <w:rFonts w:hint="eastAsia" w:hAnsi="仿宋_GB2312" w:cs="仿宋_GB2312"/>
          <w:bCs/>
          <w:color w:val="000000"/>
          <w:sz w:val="32"/>
          <w:szCs w:val="32"/>
        </w:rPr>
        <w:t>3.管理本行政区域内人工影响天气，指导和组织人工影响天气作业；</w:t>
      </w:r>
    </w:p>
    <w:p>
      <w:pPr>
        <w:pStyle w:val="6"/>
        <w:adjustRightInd w:val="0"/>
        <w:snapToGrid w:val="0"/>
        <w:spacing w:beforeLines="0" w:line="560" w:lineRule="exact"/>
        <w:ind w:firstLine="640" w:firstLineChars="200"/>
        <w:rPr>
          <w:rFonts w:hAnsi="仿宋_GB2312" w:cs="仿宋_GB2312"/>
          <w:bCs/>
          <w:color w:val="000000"/>
          <w:sz w:val="32"/>
          <w:szCs w:val="32"/>
        </w:rPr>
      </w:pPr>
      <w:r>
        <w:rPr>
          <w:rFonts w:hint="eastAsia" w:hAnsi="仿宋_GB2312" w:cs="仿宋_GB2312"/>
          <w:bCs/>
          <w:color w:val="000000"/>
          <w:sz w:val="32"/>
          <w:szCs w:val="32"/>
        </w:rPr>
        <w:t>4.组织管理雷电灾害防御，会同有关部门指导对可能遭受袭击的建筑物、构筑物和其它设施安装的雷电灾害防护装置的检测工作；</w:t>
      </w:r>
    </w:p>
    <w:p>
      <w:pPr>
        <w:pStyle w:val="6"/>
        <w:adjustRightInd w:val="0"/>
        <w:snapToGrid w:val="0"/>
        <w:spacing w:beforeLines="0" w:line="560" w:lineRule="exact"/>
        <w:ind w:firstLine="640" w:firstLineChars="200"/>
        <w:rPr>
          <w:rFonts w:hAnsi="仿宋_GB2312" w:cs="仿宋_GB2312"/>
          <w:bCs/>
          <w:color w:val="000000"/>
          <w:sz w:val="32"/>
          <w:szCs w:val="32"/>
        </w:rPr>
      </w:pPr>
      <w:r>
        <w:rPr>
          <w:rFonts w:hint="eastAsia" w:hAnsi="仿宋_GB2312" w:cs="仿宋_GB2312"/>
          <w:bCs/>
          <w:color w:val="000000"/>
          <w:sz w:val="32"/>
          <w:szCs w:val="32"/>
        </w:rPr>
        <w:t>5.协助地方党委和人民政府做好当地气象部门的精神文明建设和思想政治工作；</w:t>
      </w:r>
    </w:p>
    <w:p>
      <w:pPr>
        <w:pStyle w:val="6"/>
        <w:adjustRightInd w:val="0"/>
        <w:snapToGrid w:val="0"/>
        <w:spacing w:beforeLines="0" w:line="560" w:lineRule="exact"/>
        <w:ind w:firstLine="640" w:firstLineChars="200"/>
        <w:rPr>
          <w:rFonts w:hAnsi="仿宋_GB2312" w:cs="仿宋_GB2312"/>
          <w:bCs/>
          <w:color w:val="000000"/>
          <w:sz w:val="32"/>
          <w:szCs w:val="32"/>
        </w:rPr>
      </w:pPr>
      <w:r>
        <w:rPr>
          <w:rFonts w:hint="eastAsia" w:hAnsi="仿宋_GB2312" w:cs="仿宋_GB2312"/>
          <w:bCs/>
          <w:color w:val="000000"/>
          <w:sz w:val="32"/>
          <w:szCs w:val="32"/>
        </w:rPr>
        <w:t>6.承担上级气象主管机构和本级人民政府交办的其他事项。</w:t>
      </w:r>
    </w:p>
    <w:p>
      <w:pPr>
        <w:pStyle w:val="6"/>
        <w:adjustRightInd w:val="0"/>
        <w:snapToGrid w:val="0"/>
        <w:spacing w:beforeLines="0" w:line="560" w:lineRule="exact"/>
        <w:ind w:firstLine="640" w:firstLineChars="200"/>
        <w:outlineLvl w:val="2"/>
        <w:rPr>
          <w:rFonts w:hint="eastAsia" w:ascii="楷体_GB2312" w:hAnsi="楷体_GB2312" w:eastAsia="楷体_GB2312" w:cs="楷体_GB2312"/>
          <w:bCs/>
          <w:color w:val="000000"/>
          <w:sz w:val="32"/>
          <w:szCs w:val="32"/>
        </w:rPr>
      </w:pPr>
      <w:bookmarkStart w:id="27" w:name="_Toc15378446"/>
      <w:bookmarkStart w:id="28" w:name="_Toc15377199"/>
      <w:bookmarkStart w:id="29" w:name="_Toc82012408"/>
      <w:r>
        <w:rPr>
          <w:rFonts w:hint="eastAsia" w:ascii="楷体_GB2312" w:hAnsi="楷体_GB2312" w:eastAsia="楷体_GB2312" w:cs="楷体_GB2312"/>
          <w:bCs/>
          <w:color w:val="000000"/>
          <w:sz w:val="32"/>
          <w:szCs w:val="32"/>
        </w:rPr>
        <w:t>（二）2020年重点工作完成情况</w:t>
      </w:r>
      <w:bookmarkEnd w:id="27"/>
      <w:bookmarkEnd w:id="28"/>
      <w:bookmarkEnd w:id="2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2020年广元市气象局围绕重大事项、重点领域、重点工作、重大项目，确实履行政务服务、统筹协调、督查调研等工作职责，各项工作顺利推进。一是</w:t>
      </w:r>
      <w:r>
        <w:rPr>
          <w:rFonts w:hint="eastAsia" w:ascii="仿宋_GB2312" w:hAnsi="仿宋_GB2312" w:eastAsia="仿宋_GB2312" w:cs="仿宋_GB2312"/>
          <w:sz w:val="32"/>
          <w:szCs w:val="32"/>
        </w:rPr>
        <w:t>认真学习贯彻习近平总书记重要指示精神，</w:t>
      </w:r>
      <w:r>
        <w:rPr>
          <w:rFonts w:hint="eastAsia" w:ascii="仿宋_GB2312" w:hAnsi="仿宋_GB2312" w:eastAsia="仿宋_GB2312" w:cs="仿宋_GB2312"/>
          <w:sz w:val="32"/>
          <w:szCs w:val="32"/>
          <w:lang w:eastAsia="zh-CN"/>
        </w:rPr>
        <w:t>对标</w:t>
      </w:r>
      <w:r>
        <w:rPr>
          <w:rFonts w:hint="eastAsia" w:ascii="仿宋_GB2312" w:hAnsi="仿宋_GB2312" w:eastAsia="仿宋_GB2312" w:cs="仿宋_GB2312"/>
          <w:sz w:val="32"/>
          <w:szCs w:val="32"/>
        </w:rPr>
        <w:t>“监测精密、预报精准、服务精细”，</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各项目标任务顺利完成，气象现代化取得新的进展；二是深入推进全面从严治党，为各项工作开展营造风清气正的政治生态；三是打好汛期服务关键战，开展春运、中高考、女儿节等专题气象服务，全力保障地方经济社会发展；四是加快项目实施，提高气象现代化水平；五是深化改革和气象法治建设；六是持续用力，打好脱贫攻坚收官战；七是全力做好新冠肺炎疫情防控工作。</w:t>
      </w:r>
    </w:p>
    <w:p>
      <w:pPr>
        <w:spacing w:line="560" w:lineRule="exact"/>
        <w:ind w:firstLine="640" w:firstLineChars="200"/>
        <w:rPr>
          <w:rFonts w:ascii="仿宋_GB2312" w:hAnsi="仿宋_GB2312" w:eastAsia="仿宋_GB2312" w:cs="仿宋_GB2312"/>
          <w:bCs/>
          <w:color w:val="000000"/>
          <w:sz w:val="32"/>
          <w:szCs w:val="32"/>
        </w:rPr>
      </w:pPr>
    </w:p>
    <w:p>
      <w:pPr>
        <w:pStyle w:val="3"/>
        <w:spacing w:before="0" w:after="0" w:line="560" w:lineRule="exact"/>
        <w:ind w:firstLine="640" w:firstLineChars="200"/>
        <w:rPr>
          <w:rStyle w:val="23"/>
          <w:b w:val="0"/>
          <w:bCs w:val="0"/>
        </w:rPr>
      </w:pPr>
      <w:bookmarkStart w:id="30" w:name="_Toc15396601"/>
      <w:bookmarkStart w:id="31" w:name="_Toc15377200"/>
      <w:bookmarkStart w:id="32" w:name="_Toc82012409"/>
      <w:r>
        <w:rPr>
          <w:rFonts w:hint="eastAsia" w:ascii="黑体" w:eastAsia="黑体"/>
          <w:b w:val="0"/>
          <w:color w:val="000000"/>
        </w:rPr>
        <w:t>二、</w:t>
      </w:r>
      <w:r>
        <w:rPr>
          <w:rFonts w:hint="eastAsia" w:ascii="黑体" w:hAnsi="黑体" w:eastAsia="黑体"/>
          <w:b w:val="0"/>
          <w:color w:val="000000"/>
        </w:rPr>
        <w:t>机</w:t>
      </w:r>
      <w:r>
        <w:rPr>
          <w:rStyle w:val="23"/>
          <w:rFonts w:hint="eastAsia" w:ascii="黑体" w:hAnsi="黑体" w:eastAsia="黑体"/>
          <w:b w:val="0"/>
          <w:bCs w:val="0"/>
        </w:rPr>
        <w:t>构设置</w:t>
      </w:r>
      <w:bookmarkEnd w:id="30"/>
      <w:bookmarkEnd w:id="31"/>
      <w:bookmarkEnd w:id="32"/>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我单位为其他事业单位，无下属二级单位。截至2020底我单位年地方编制10人，实有在职人员7人。</w:t>
      </w:r>
    </w:p>
    <w:p>
      <w:pPr>
        <w:widowControl/>
        <w:spacing w:line="560" w:lineRule="exact"/>
        <w:ind w:firstLine="640" w:firstLineChars="200"/>
        <w:rPr>
          <w:rFonts w:ascii="仿宋_GB2312" w:hAnsi="仿宋_GB2312" w:eastAsia="仿宋_GB2312" w:cs="仿宋_GB2312"/>
          <w:sz w:val="32"/>
          <w:szCs w:val="32"/>
        </w:rPr>
      </w:pPr>
    </w:p>
    <w:p>
      <w:pPr>
        <w:pStyle w:val="2"/>
        <w:spacing w:before="0" w:after="0" w:line="700" w:lineRule="exact"/>
        <w:jc w:val="right"/>
        <w:rPr>
          <w:rStyle w:val="22"/>
          <w:rFonts w:ascii="方正小标宋简体" w:hAnsi="方正小标宋简体" w:eastAsia="方正小标宋简体" w:cs="方正小标宋简体"/>
          <w:b w:val="0"/>
          <w:bCs w:val="0"/>
        </w:rPr>
      </w:pPr>
      <w:bookmarkStart w:id="33" w:name="_Toc82012410"/>
      <w:bookmarkStart w:id="34" w:name="_Toc15377204"/>
      <w:bookmarkStart w:id="35" w:name="_Toc15396602"/>
      <w:r>
        <w:rPr>
          <w:rFonts w:hint="eastAsia" w:ascii="方正小标宋简体" w:hAnsi="方正小标宋简体" w:eastAsia="方正小标宋简体" w:cs="方正小标宋简体"/>
          <w:b w:val="0"/>
          <w:color w:val="000000"/>
        </w:rPr>
        <w:t>第二部分</w:t>
      </w:r>
      <w:r>
        <w:rPr>
          <w:rFonts w:hint="eastAsia" w:ascii="方正小标宋简体" w:hAnsi="方正小标宋简体" w:eastAsia="方正小标宋简体" w:cs="方正小标宋简体"/>
          <w:color w:val="000000"/>
        </w:rPr>
        <w:t xml:space="preserve"> </w:t>
      </w:r>
      <w:r>
        <w:rPr>
          <w:rStyle w:val="22"/>
          <w:rFonts w:hint="eastAsia" w:ascii="方正小标宋简体" w:hAnsi="方正小标宋简体" w:eastAsia="方正小标宋简体" w:cs="方正小标宋简体"/>
          <w:b w:val="0"/>
          <w:bCs w:val="0"/>
        </w:rPr>
        <w:t>2020年度部门决算情况说明</w:t>
      </w:r>
      <w:bookmarkEnd w:id="33"/>
      <w:bookmarkEnd w:id="34"/>
      <w:bookmarkEnd w:id="35"/>
    </w:p>
    <w:p/>
    <w:p>
      <w:pPr>
        <w:pStyle w:val="33"/>
        <w:adjustRightInd w:val="0"/>
        <w:spacing w:line="560" w:lineRule="exact"/>
        <w:ind w:firstLine="640"/>
        <w:outlineLvl w:val="1"/>
        <w:rPr>
          <w:rStyle w:val="23"/>
          <w:rFonts w:ascii="黑体" w:hAnsi="黑体" w:eastAsia="黑体"/>
          <w:b w:val="0"/>
        </w:rPr>
      </w:pPr>
      <w:bookmarkStart w:id="36" w:name="_Toc15396603"/>
      <w:bookmarkStart w:id="37" w:name="_Toc15377205"/>
      <w:bookmarkStart w:id="38" w:name="_Toc82012411"/>
      <w:r>
        <w:rPr>
          <w:rFonts w:hint="eastAsia" w:ascii="黑体" w:hAnsi="黑体" w:eastAsia="黑体"/>
          <w:color w:val="000000"/>
          <w:sz w:val="32"/>
          <w:szCs w:val="32"/>
        </w:rPr>
        <w:t>一、收</w:t>
      </w:r>
      <w:r>
        <w:rPr>
          <w:rStyle w:val="23"/>
          <w:rFonts w:hint="eastAsia" w:ascii="黑体" w:hAnsi="黑体" w:eastAsia="黑体"/>
          <w:b w:val="0"/>
        </w:rPr>
        <w:t>入支出决算总体情况说明</w:t>
      </w:r>
      <w:bookmarkEnd w:id="36"/>
      <w:bookmarkEnd w:id="37"/>
      <w:bookmarkEnd w:id="38"/>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2020年度收、支总计430.29万元。与2019年相比，收、支总计各增加124.27万元，增长40.6%。主要变动原因是人影项目资金预算较2019年有所增加。</w:t>
      </w:r>
    </w:p>
    <w:p>
      <w:pPr>
        <w:spacing w:line="560" w:lineRule="exact"/>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（图1：收、支决算总计变动情况图）（柱状图）</w:t>
      </w:r>
    </w:p>
    <w:p>
      <w:pPr>
        <w:ind w:firstLine="420" w:firstLineChars="200"/>
        <w:jc w:val="center"/>
        <w:rPr>
          <w:rFonts w:ascii="仿宋_GB2312" w:eastAsia="仿宋_GB2312"/>
          <w:color w:val="000000"/>
          <w:sz w:val="32"/>
          <w:szCs w:val="32"/>
        </w:rPr>
      </w:pPr>
      <w:r>
        <w:drawing>
          <wp:inline distT="0" distB="0" distL="0" distR="0">
            <wp:extent cx="4106545" cy="2277110"/>
            <wp:effectExtent l="4445" t="5080" r="22860" b="228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560" w:lineRule="exact"/>
        <w:jc w:val="center"/>
        <w:rPr>
          <w:rFonts w:ascii="仿宋_GB2312" w:hAnsi="仿宋_GB2312" w:eastAsia="仿宋_GB2312" w:cs="仿宋_GB2312"/>
          <w:color w:val="000000"/>
          <w:sz w:val="28"/>
          <w:szCs w:val="28"/>
        </w:rPr>
      </w:pPr>
      <w:bookmarkStart w:id="39" w:name="_Toc15396604"/>
      <w:bookmarkStart w:id="40" w:name="_Toc15377206"/>
    </w:p>
    <w:p>
      <w:pPr>
        <w:pStyle w:val="33"/>
        <w:spacing w:line="560" w:lineRule="exact"/>
        <w:ind w:firstLine="640"/>
        <w:outlineLvl w:val="1"/>
        <w:rPr>
          <w:rStyle w:val="23"/>
          <w:rFonts w:ascii="黑体" w:hAnsi="黑体" w:eastAsia="黑体"/>
          <w:b w:val="0"/>
        </w:rPr>
      </w:pPr>
      <w:bookmarkStart w:id="41" w:name="_Toc82012412"/>
      <w:r>
        <w:rPr>
          <w:rFonts w:hint="eastAsia" w:ascii="黑体" w:hAnsi="黑体" w:eastAsia="黑体"/>
          <w:color w:val="000000"/>
          <w:sz w:val="32"/>
          <w:szCs w:val="32"/>
        </w:rPr>
        <w:t>二、收</w:t>
      </w:r>
      <w:r>
        <w:rPr>
          <w:rStyle w:val="23"/>
          <w:rFonts w:hint="eastAsia" w:ascii="黑体" w:hAnsi="黑体" w:eastAsia="黑体"/>
          <w:b w:val="0"/>
        </w:rPr>
        <w:t>入决算情况说明</w:t>
      </w:r>
      <w:bookmarkEnd w:id="39"/>
      <w:bookmarkEnd w:id="40"/>
      <w:bookmarkEnd w:id="41"/>
    </w:p>
    <w:p>
      <w:pPr>
        <w:spacing w:line="560" w:lineRule="exact"/>
        <w:ind w:firstLine="640" w:firstLineChars="200"/>
        <w:rPr>
          <w:rFonts w:ascii="仿宋_GB2312" w:hAnsi="仿宋_GB2312" w:eastAsia="仿宋_GB2312" w:cs="仿宋_GB2312"/>
          <w:color w:val="000000"/>
          <w:sz w:val="32"/>
          <w:szCs w:val="32"/>
        </w:rPr>
      </w:pPr>
      <w:bookmarkStart w:id="42" w:name="_Toc82012413"/>
      <w:r>
        <w:rPr>
          <w:rFonts w:hint="eastAsia" w:ascii="仿宋_GB2312" w:hAnsi="仿宋_GB2312" w:eastAsia="仿宋_GB2312" w:cs="仿宋_GB2312"/>
          <w:color w:val="000000"/>
          <w:sz w:val="32"/>
          <w:szCs w:val="32"/>
        </w:rPr>
        <w:t>2020年本年收入合计304.68万元，其中：一般公共预算财政拨款收入304.68万元，占100%；政府性基金预算财政拨款收入0万元，占0%；上级补助收入0万元，占0%；事业收入0万元，占0%；经营收入0万元，占0%；附属单位上缴收入0万元，占0%；其他收入0万元，占0%。</w:t>
      </w:r>
      <w:bookmarkEnd w:id="42"/>
    </w:p>
    <w:p>
      <w:pPr>
        <w:spacing w:line="560" w:lineRule="exact"/>
        <w:jc w:val="center"/>
        <w:rPr>
          <w:rFonts w:ascii="宋体" w:hAnsi="宋体" w:cs="宋体"/>
          <w:color w:val="FF0000"/>
          <w:sz w:val="24"/>
        </w:rPr>
      </w:pPr>
      <w:r>
        <w:rPr>
          <w:rFonts w:hint="eastAsia" w:ascii="宋体" w:hAnsi="宋体" w:cs="宋体"/>
          <w:color w:val="000000"/>
          <w:sz w:val="24"/>
        </w:rPr>
        <w:t>（图2：收入决算结构图）（饼状图）</w:t>
      </w:r>
    </w:p>
    <w:p>
      <w:pPr>
        <w:ind w:firstLine="420" w:firstLineChars="200"/>
        <w:rPr>
          <w:rFonts w:ascii="仿宋_GB2312" w:eastAsia="仿宋_GB2312"/>
          <w:color w:val="FF0000"/>
          <w:sz w:val="32"/>
          <w:szCs w:val="32"/>
        </w:rPr>
      </w:pPr>
      <w:r>
        <w:drawing>
          <wp:inline distT="0" distB="0" distL="0" distR="0">
            <wp:extent cx="4572000" cy="27432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3"/>
        <w:spacing w:line="560" w:lineRule="exact"/>
        <w:ind w:firstLine="640"/>
        <w:outlineLvl w:val="1"/>
        <w:rPr>
          <w:rStyle w:val="23"/>
          <w:rFonts w:ascii="黑体" w:hAnsi="黑体" w:eastAsia="黑体"/>
          <w:b w:val="0"/>
        </w:rPr>
      </w:pPr>
      <w:bookmarkStart w:id="43" w:name="_Toc82012414"/>
      <w:bookmarkStart w:id="44" w:name="_Toc15396605"/>
      <w:bookmarkStart w:id="45" w:name="_Toc15377207"/>
      <w:r>
        <w:rPr>
          <w:rFonts w:hint="eastAsia" w:ascii="黑体" w:hAnsi="黑体" w:eastAsia="黑体"/>
          <w:color w:val="000000"/>
          <w:sz w:val="32"/>
          <w:szCs w:val="32"/>
        </w:rPr>
        <w:t>三、支</w:t>
      </w:r>
      <w:r>
        <w:rPr>
          <w:rStyle w:val="23"/>
          <w:rFonts w:hint="eastAsia" w:ascii="黑体" w:hAnsi="黑体" w:eastAsia="黑体"/>
          <w:b w:val="0"/>
        </w:rPr>
        <w:t>出决算情况说明</w:t>
      </w:r>
      <w:bookmarkEnd w:id="43"/>
      <w:bookmarkEnd w:id="44"/>
      <w:bookmarkEnd w:id="45"/>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2020年本年支出合计429.25万元，其中：基本支出218.07万元，占50.8%；项目支出211.18万元，占49.2%。</w:t>
      </w:r>
    </w:p>
    <w:p>
      <w:pPr>
        <w:spacing w:line="560" w:lineRule="exact"/>
        <w:jc w:val="center"/>
        <w:rPr>
          <w:rFonts w:ascii="宋体" w:hAnsi="宋体" w:cs="宋体"/>
          <w:color w:val="000000"/>
          <w:sz w:val="24"/>
        </w:rPr>
      </w:pPr>
      <w:r>
        <w:rPr>
          <w:rFonts w:hint="eastAsia" w:ascii="宋体" w:hAnsi="宋体" w:cs="宋体"/>
          <w:color w:val="000000"/>
          <w:sz w:val="24"/>
        </w:rPr>
        <w:t>（图3：支出决算结构图）（饼状图）</w:t>
      </w:r>
    </w:p>
    <w:p>
      <w:pPr>
        <w:ind w:firstLine="420" w:firstLineChars="200"/>
        <w:jc w:val="center"/>
        <w:rPr>
          <w:rFonts w:ascii="仿宋_GB2312" w:eastAsia="仿宋_GB2312"/>
          <w:color w:val="FF0000"/>
          <w:sz w:val="32"/>
          <w:szCs w:val="32"/>
        </w:rPr>
      </w:pPr>
      <w:r>
        <w:drawing>
          <wp:inline distT="0" distB="0" distL="0" distR="0">
            <wp:extent cx="3963035" cy="1734820"/>
            <wp:effectExtent l="4445" t="4445" r="13970" b="1333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60" w:lineRule="exact"/>
        <w:ind w:firstLine="640" w:firstLineChars="200"/>
        <w:outlineLvl w:val="1"/>
        <w:rPr>
          <w:rStyle w:val="23"/>
          <w:rFonts w:ascii="黑体" w:hAnsi="黑体" w:eastAsia="黑体"/>
          <w:b w:val="0"/>
        </w:rPr>
      </w:pPr>
      <w:bookmarkStart w:id="46" w:name="_Toc15396606"/>
      <w:bookmarkStart w:id="47" w:name="_Toc15377208"/>
      <w:bookmarkStart w:id="48" w:name="_Toc82012415"/>
      <w:r>
        <w:rPr>
          <w:rFonts w:hint="eastAsia" w:ascii="黑体" w:hAnsi="黑体" w:eastAsia="黑体"/>
          <w:color w:val="000000"/>
          <w:sz w:val="32"/>
          <w:szCs w:val="32"/>
        </w:rPr>
        <w:t>四、财</w:t>
      </w:r>
      <w:r>
        <w:rPr>
          <w:rStyle w:val="23"/>
          <w:rFonts w:hint="eastAsia" w:ascii="黑体" w:hAnsi="黑体" w:eastAsia="黑体"/>
          <w:b w:val="0"/>
        </w:rPr>
        <w:t>政拨款收入支出决算总体情况说明</w:t>
      </w:r>
      <w:bookmarkEnd w:id="46"/>
      <w:bookmarkEnd w:id="47"/>
      <w:bookmarkEnd w:id="48"/>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2020年财政拨款收、支总计407.03万元。与2019年相比，财政拨款收、支总计各增加101.01万元，增长33%。主要变动原因是人影项目预算增加。</w:t>
      </w:r>
    </w:p>
    <w:p>
      <w:pPr>
        <w:spacing w:line="560" w:lineRule="exact"/>
        <w:jc w:val="center"/>
        <w:rPr>
          <w:rFonts w:ascii="宋体" w:hAnsi="宋体" w:cs="宋体"/>
          <w:color w:val="000000"/>
          <w:sz w:val="24"/>
        </w:rPr>
      </w:pPr>
      <w:r>
        <w:rPr>
          <w:rFonts w:hint="eastAsia" w:ascii="宋体" w:hAnsi="宋体" w:cs="宋体"/>
          <w:color w:val="000000"/>
          <w:sz w:val="24"/>
        </w:rPr>
        <w:t>（图4：财政拨款收、支决算总计变动情况）（柱状图）</w:t>
      </w:r>
    </w:p>
    <w:p>
      <w:pPr>
        <w:ind w:firstLine="641"/>
        <w:jc w:val="center"/>
        <w:rPr>
          <w:rFonts w:ascii="仿宋" w:hAnsi="仿宋" w:eastAsia="仿宋"/>
          <w:b/>
          <w:color w:val="00B050"/>
          <w:sz w:val="32"/>
          <w:szCs w:val="32"/>
        </w:rPr>
      </w:pPr>
      <w:r>
        <w:drawing>
          <wp:inline distT="0" distB="0" distL="0" distR="0">
            <wp:extent cx="4686300" cy="3295650"/>
            <wp:effectExtent l="4445" t="5080" r="14605" b="1397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exact"/>
        <w:ind w:firstLine="640" w:firstLineChars="200"/>
        <w:outlineLvl w:val="1"/>
        <w:rPr>
          <w:rStyle w:val="23"/>
          <w:rFonts w:ascii="黑体" w:hAnsi="黑体" w:eastAsia="黑体"/>
          <w:b w:val="0"/>
        </w:rPr>
      </w:pPr>
      <w:bookmarkStart w:id="49" w:name="_Toc15377209"/>
      <w:bookmarkStart w:id="50" w:name="_Toc15396607"/>
      <w:bookmarkStart w:id="51" w:name="_Toc82012416"/>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3"/>
          <w:rFonts w:hint="eastAsia" w:ascii="黑体" w:hAnsi="黑体" w:eastAsia="黑体"/>
          <w:b w:val="0"/>
        </w:rPr>
        <w:t>般公共预算财政拨款支出决算情况说明</w:t>
      </w:r>
      <w:bookmarkEnd w:id="49"/>
      <w:bookmarkEnd w:id="50"/>
      <w:bookmarkEnd w:id="51"/>
    </w:p>
    <w:p>
      <w:pPr>
        <w:spacing w:line="560" w:lineRule="exact"/>
        <w:ind w:firstLine="640" w:firstLineChars="200"/>
        <w:outlineLvl w:val="2"/>
        <w:rPr>
          <w:rFonts w:ascii="楷体_GB2312" w:hAnsi="楷体_GB2312" w:eastAsia="楷体_GB2312" w:cs="楷体_GB2312"/>
          <w:bCs/>
          <w:color w:val="000000"/>
          <w:sz w:val="32"/>
          <w:szCs w:val="32"/>
        </w:rPr>
      </w:pPr>
      <w:bookmarkStart w:id="52" w:name="_Toc15377210"/>
      <w:bookmarkStart w:id="53" w:name="_Toc82012417"/>
      <w:r>
        <w:rPr>
          <w:rFonts w:hint="eastAsia" w:ascii="楷体_GB2312" w:hAnsi="楷体_GB2312" w:eastAsia="楷体_GB2312" w:cs="楷体_GB2312"/>
          <w:bCs/>
          <w:color w:val="000000"/>
          <w:sz w:val="32"/>
          <w:szCs w:val="32"/>
        </w:rPr>
        <w:t>（一）一般公共预算财政拨款支出决算总体情况</w:t>
      </w:r>
      <w:bookmarkEnd w:id="52"/>
      <w:bookmarkEnd w:id="53"/>
    </w:p>
    <w:p>
      <w:pPr>
        <w:spacing w:line="600" w:lineRule="exact"/>
        <w:ind w:firstLine="640" w:firstLineChars="200"/>
        <w:rPr>
          <w:rFonts w:ascii="仿宋" w:hAnsi="仿宋" w:eastAsia="仿宋"/>
          <w:color w:val="000000"/>
          <w:sz w:val="32"/>
          <w:szCs w:val="32"/>
        </w:rPr>
      </w:pPr>
      <w:r>
        <w:rPr>
          <w:rFonts w:hint="eastAsia" w:ascii="仿宋_GB2312" w:hAnsi="仿宋" w:eastAsia="仿宋_GB2312"/>
          <w:color w:val="000000"/>
          <w:sz w:val="32"/>
          <w:szCs w:val="32"/>
        </w:rPr>
        <w:t>2020年一般公共预算财政拨款支出405.98万元，占本年支出合计的94.58%。与2019年相比，一般公共预算财政拨款增加155.08万元，增长61.8%。主要变动原因是人影项目开支增加、新进人员等</w:t>
      </w:r>
      <w:r>
        <w:rPr>
          <w:rFonts w:hint="eastAsia" w:ascii="仿宋" w:hAnsi="仿宋" w:eastAsia="仿宋"/>
          <w:color w:val="000000"/>
          <w:sz w:val="32"/>
          <w:szCs w:val="32"/>
        </w:rPr>
        <w:t>。</w:t>
      </w:r>
    </w:p>
    <w:p>
      <w:pPr>
        <w:spacing w:line="560" w:lineRule="exact"/>
        <w:jc w:val="center"/>
        <w:rPr>
          <w:rFonts w:ascii="宋体" w:hAnsi="宋体" w:cs="宋体"/>
          <w:color w:val="000000"/>
          <w:sz w:val="24"/>
        </w:rPr>
      </w:pPr>
      <w:r>
        <w:rPr>
          <w:rFonts w:hint="eastAsia" w:ascii="宋体" w:hAnsi="宋体" w:cs="宋体"/>
          <w:color w:val="000000"/>
          <w:sz w:val="24"/>
        </w:rPr>
        <w:t>（图5：一般公共预算财政拨款支出决算变动情况）（柱状图）</w:t>
      </w:r>
    </w:p>
    <w:p>
      <w:pPr>
        <w:ind w:firstLine="420" w:firstLineChars="200"/>
        <w:jc w:val="center"/>
        <w:rPr>
          <w:rFonts w:ascii="仿宋" w:hAnsi="仿宋" w:eastAsia="仿宋"/>
          <w:color w:val="000000"/>
          <w:sz w:val="32"/>
          <w:szCs w:val="32"/>
        </w:rPr>
      </w:pPr>
      <w:r>
        <w:drawing>
          <wp:inline distT="0" distB="0" distL="0" distR="0">
            <wp:extent cx="4933950" cy="2743200"/>
            <wp:effectExtent l="0" t="0" r="19050"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60" w:lineRule="exact"/>
        <w:ind w:firstLine="640" w:firstLineChars="200"/>
        <w:outlineLvl w:val="2"/>
        <w:rPr>
          <w:rFonts w:ascii="楷体_GB2312" w:hAnsi="仿宋" w:eastAsia="楷体_GB2312"/>
          <w:color w:val="000000"/>
          <w:sz w:val="32"/>
          <w:szCs w:val="32"/>
        </w:rPr>
      </w:pPr>
      <w:bookmarkStart w:id="54" w:name="_Toc15377211"/>
      <w:bookmarkStart w:id="55" w:name="_Toc82012418"/>
      <w:r>
        <w:rPr>
          <w:rFonts w:hint="eastAsia" w:ascii="楷体_GB2312" w:hAnsi="仿宋" w:eastAsia="楷体_GB2312"/>
          <w:color w:val="000000"/>
          <w:sz w:val="32"/>
          <w:szCs w:val="32"/>
        </w:rPr>
        <w:t>（二）一般公共预算财政拨款支出决算结构情况</w:t>
      </w:r>
      <w:bookmarkEnd w:id="54"/>
      <w:bookmarkEnd w:id="55"/>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2020年一般公共预算财政拨款支出405.98万元，主要用于以下方面:节能环保支出（211）支出100.70万元，占24.8%；自然资源海洋气象等支出（220）288.63万元，占71.09%；社会保障和就业支出（208）支出7.08万元，占1.74%；</w:t>
      </w:r>
      <w:r>
        <w:rPr>
          <w:rFonts w:hint="eastAsia" w:ascii="仿宋_GB2312" w:hAnsi="仿宋" w:eastAsia="仿宋_GB2312"/>
          <w:bCs/>
          <w:color w:val="000000"/>
          <w:sz w:val="32"/>
          <w:szCs w:val="32"/>
        </w:rPr>
        <w:t>卫生健康支出（210）支出</w:t>
      </w:r>
      <w:r>
        <w:rPr>
          <w:rFonts w:hint="eastAsia" w:ascii="仿宋_GB2312" w:hAnsi="仿宋" w:eastAsia="仿宋_GB2312"/>
          <w:color w:val="000000"/>
          <w:sz w:val="32"/>
          <w:szCs w:val="32"/>
        </w:rPr>
        <w:t xml:space="preserve">3.01万元，占0.7%；住房保障支出（221）6.57万元，占1.62%。 </w:t>
      </w:r>
    </w:p>
    <w:p>
      <w:pPr>
        <w:spacing w:line="560" w:lineRule="exact"/>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（图</w:t>
      </w:r>
      <w:r>
        <w:rPr>
          <w:rFonts w:asciiTheme="minorEastAsia" w:hAnsiTheme="minorEastAsia" w:eastAsiaTheme="minorEastAsia"/>
          <w:color w:val="000000"/>
          <w:sz w:val="24"/>
        </w:rPr>
        <w:t>6</w:t>
      </w:r>
      <w:r>
        <w:rPr>
          <w:rFonts w:hint="eastAsia" w:asciiTheme="minorEastAsia" w:hAnsiTheme="minorEastAsia" w:eastAsiaTheme="minorEastAsia"/>
          <w:color w:val="000000"/>
          <w:sz w:val="24"/>
        </w:rPr>
        <w:t>：一般公共预算财政拨款支出决算结构）（饼状图）</w:t>
      </w:r>
    </w:p>
    <w:p>
      <w:pPr>
        <w:ind w:firstLine="420" w:firstLineChars="200"/>
        <w:jc w:val="center"/>
        <w:rPr>
          <w:rFonts w:ascii="仿宋" w:hAnsi="仿宋" w:eastAsia="仿宋"/>
          <w:color w:val="000000"/>
          <w:sz w:val="32"/>
          <w:szCs w:val="32"/>
        </w:rPr>
      </w:pPr>
      <w:r>
        <w:drawing>
          <wp:inline distT="0" distB="0" distL="0" distR="0">
            <wp:extent cx="3781425" cy="2019300"/>
            <wp:effectExtent l="0" t="0" r="9525" b="190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ind w:firstLine="640" w:firstLineChars="200"/>
        <w:outlineLvl w:val="2"/>
        <w:rPr>
          <w:rFonts w:ascii="楷体_GB2312" w:hAnsi="仿宋" w:eastAsia="楷体_GB2312"/>
          <w:color w:val="000000"/>
          <w:sz w:val="32"/>
          <w:szCs w:val="32"/>
        </w:rPr>
      </w:pPr>
      <w:bookmarkStart w:id="56" w:name="_Toc82012419"/>
      <w:bookmarkStart w:id="57" w:name="_Toc15377212"/>
      <w:r>
        <w:rPr>
          <w:rFonts w:hint="eastAsia" w:ascii="楷体_GB2312" w:hAnsi="仿宋" w:eastAsia="楷体_GB2312"/>
          <w:color w:val="000000"/>
          <w:sz w:val="32"/>
          <w:szCs w:val="32"/>
        </w:rPr>
        <w:t>（三）一般公共预算财政拨款支出决算具体情况</w:t>
      </w:r>
      <w:bookmarkEnd w:id="56"/>
      <w:bookmarkEnd w:id="57"/>
    </w:p>
    <w:p>
      <w:pPr>
        <w:spacing w:line="560" w:lineRule="exact"/>
        <w:ind w:firstLine="640" w:firstLineChars="200"/>
        <w:rPr>
          <w:rFonts w:ascii="仿宋_GB2312" w:hAnsi="仿宋" w:eastAsia="仿宋_GB2312"/>
          <w:color w:val="FF0000"/>
          <w:sz w:val="32"/>
          <w:szCs w:val="32"/>
        </w:rPr>
      </w:pPr>
      <w:bookmarkStart w:id="58" w:name="_Toc15378460"/>
      <w:bookmarkStart w:id="59" w:name="_Toc15377213"/>
      <w:bookmarkStart w:id="60" w:name="_Toc15377444"/>
      <w:r>
        <w:rPr>
          <w:rFonts w:hint="eastAsia" w:ascii="仿宋_GB2312" w:hAnsi="仿宋" w:eastAsia="仿宋_GB2312"/>
          <w:color w:val="000000"/>
          <w:sz w:val="32"/>
          <w:szCs w:val="32"/>
        </w:rPr>
        <w:t>2020年一般公共预算支出决算数为405.98万元，</w:t>
      </w:r>
      <w:r>
        <w:rPr>
          <w:rStyle w:val="20"/>
          <w:rFonts w:hint="eastAsia" w:ascii="仿宋_GB2312" w:hAnsi="仿宋" w:eastAsia="仿宋_GB2312"/>
          <w:b w:val="0"/>
          <w:bCs/>
          <w:color w:val="000000"/>
          <w:sz w:val="32"/>
          <w:szCs w:val="32"/>
        </w:rPr>
        <w:t>完成预算99.74%。其中：</w:t>
      </w:r>
      <w:bookmarkEnd w:id="58"/>
      <w:bookmarkEnd w:id="59"/>
      <w:bookmarkEnd w:id="60"/>
    </w:p>
    <w:p>
      <w:pPr>
        <w:spacing w:line="560" w:lineRule="exact"/>
        <w:ind w:firstLine="640" w:firstLineChars="200"/>
        <w:rPr>
          <w:rFonts w:ascii="仿宋_GB2312" w:hAnsi="仿宋" w:eastAsia="仿宋_GB2312"/>
          <w:color w:val="000000"/>
          <w:sz w:val="32"/>
          <w:szCs w:val="32"/>
        </w:rPr>
      </w:pPr>
      <w:r>
        <w:rPr>
          <w:rStyle w:val="20"/>
          <w:rFonts w:hint="eastAsia" w:ascii="仿宋_GB2312" w:hAnsi="仿宋" w:eastAsia="仿宋_GB2312"/>
          <w:b w:val="0"/>
          <w:bCs/>
          <w:color w:val="000000"/>
          <w:sz w:val="32"/>
          <w:szCs w:val="32"/>
        </w:rPr>
        <w:t>1.</w:t>
      </w:r>
      <w:r>
        <w:rPr>
          <w:rFonts w:hint="eastAsia" w:ascii="仿宋_GB2312" w:eastAsia="仿宋_GB2312"/>
          <w:color w:val="000000"/>
          <w:sz w:val="32"/>
          <w:szCs w:val="32"/>
        </w:rPr>
        <w:t>机关事业单位基本养老保险缴费支出208（类）05（款）05（项）</w:t>
      </w:r>
      <w:r>
        <w:rPr>
          <w:rStyle w:val="20"/>
          <w:rFonts w:hint="eastAsia" w:ascii="仿宋_GB2312" w:hAnsi="仿宋" w:eastAsia="仿宋_GB2312"/>
          <w:b w:val="0"/>
          <w:bCs/>
          <w:color w:val="000000"/>
          <w:sz w:val="32"/>
          <w:szCs w:val="32"/>
        </w:rPr>
        <w:t>: 支出决算为6.41万元，完成预算100%。</w:t>
      </w:r>
      <w:r>
        <w:rPr>
          <w:rFonts w:hint="eastAsia" w:ascii="仿宋_GB2312" w:hAnsi="仿宋" w:eastAsia="仿宋_GB2312"/>
          <w:color w:val="000000"/>
          <w:sz w:val="32"/>
          <w:szCs w:val="32"/>
        </w:rPr>
        <w:t xml:space="preserve"> </w:t>
      </w:r>
    </w:p>
    <w:p>
      <w:pPr>
        <w:spacing w:line="560" w:lineRule="exact"/>
        <w:ind w:firstLine="640" w:firstLineChars="200"/>
        <w:rPr>
          <w:rFonts w:ascii="仿宋_GB2312" w:hAnsi="仿宋" w:eastAsia="仿宋_GB2312"/>
          <w:color w:val="000000"/>
          <w:sz w:val="32"/>
          <w:szCs w:val="32"/>
        </w:rPr>
      </w:pPr>
      <w:r>
        <w:rPr>
          <w:rStyle w:val="20"/>
          <w:rFonts w:hint="eastAsia" w:ascii="仿宋_GB2312" w:hAnsi="仿宋" w:eastAsia="仿宋_GB2312"/>
          <w:b w:val="0"/>
          <w:bCs/>
          <w:color w:val="000000"/>
          <w:sz w:val="32"/>
          <w:szCs w:val="32"/>
        </w:rPr>
        <w:t>2.</w:t>
      </w:r>
      <w:r>
        <w:rPr>
          <w:rFonts w:hint="eastAsia" w:ascii="仿宋_GB2312" w:eastAsia="仿宋_GB2312"/>
          <w:color w:val="000000"/>
          <w:sz w:val="32"/>
          <w:szCs w:val="32"/>
        </w:rPr>
        <w:t>事业单位医疗210（类）11（款）02（项）</w:t>
      </w:r>
      <w:r>
        <w:rPr>
          <w:rStyle w:val="20"/>
          <w:rFonts w:hint="eastAsia" w:ascii="仿宋_GB2312" w:hAnsi="仿宋" w:eastAsia="仿宋_GB2312"/>
          <w:b w:val="0"/>
          <w:bCs/>
          <w:color w:val="000000"/>
          <w:sz w:val="32"/>
          <w:szCs w:val="32"/>
        </w:rPr>
        <w:t>: 支出决算为3.01万元，完成预算100%。</w:t>
      </w:r>
    </w:p>
    <w:p>
      <w:pPr>
        <w:spacing w:line="560" w:lineRule="exact"/>
        <w:ind w:firstLine="640" w:firstLineChars="200"/>
        <w:rPr>
          <w:rFonts w:ascii="仿宋_GB2312" w:hAnsi="仿宋" w:eastAsia="仿宋_GB2312"/>
          <w:color w:val="000000"/>
          <w:sz w:val="32"/>
          <w:szCs w:val="32"/>
        </w:rPr>
      </w:pPr>
      <w:r>
        <w:rPr>
          <w:rStyle w:val="20"/>
          <w:rFonts w:hint="eastAsia" w:ascii="仿宋_GB2312" w:hAnsi="仿宋" w:eastAsia="仿宋_GB2312"/>
          <w:b w:val="0"/>
          <w:bCs/>
          <w:color w:val="000000"/>
          <w:sz w:val="32"/>
          <w:szCs w:val="32"/>
        </w:rPr>
        <w:t>3.</w:t>
      </w:r>
      <w:r>
        <w:rPr>
          <w:rFonts w:hint="eastAsia" w:ascii="仿宋_GB2312" w:eastAsia="仿宋_GB2312"/>
          <w:color w:val="000000"/>
          <w:sz w:val="32"/>
          <w:szCs w:val="32"/>
        </w:rPr>
        <w:t>机关事业单位职业年金缴费支出208（类）05（款）06（项）</w:t>
      </w:r>
      <w:r>
        <w:rPr>
          <w:rStyle w:val="20"/>
          <w:rFonts w:hint="eastAsia" w:ascii="仿宋_GB2312" w:hAnsi="仿宋" w:eastAsia="仿宋_GB2312"/>
          <w:b w:val="0"/>
          <w:bCs/>
          <w:color w:val="000000"/>
          <w:sz w:val="32"/>
          <w:szCs w:val="32"/>
        </w:rPr>
        <w:t>: 支出决算为0.57万元，完成预算100%。</w:t>
      </w:r>
    </w:p>
    <w:p>
      <w:pPr>
        <w:spacing w:line="560" w:lineRule="exact"/>
        <w:ind w:firstLine="640" w:firstLineChars="200"/>
        <w:rPr>
          <w:rFonts w:ascii="仿宋_GB2312" w:hAnsi="仿宋" w:eastAsia="仿宋_GB2312"/>
          <w:color w:val="000000"/>
          <w:sz w:val="32"/>
          <w:szCs w:val="32"/>
        </w:rPr>
      </w:pPr>
      <w:r>
        <w:rPr>
          <w:rStyle w:val="20"/>
          <w:rFonts w:hint="eastAsia" w:ascii="仿宋_GB2312" w:hAnsi="仿宋" w:eastAsia="仿宋_GB2312"/>
          <w:b w:val="0"/>
          <w:bCs/>
          <w:color w:val="000000"/>
          <w:sz w:val="32"/>
          <w:szCs w:val="32"/>
        </w:rPr>
        <w:t>4.</w:t>
      </w:r>
      <w:r>
        <w:rPr>
          <w:rFonts w:hint="eastAsia" w:ascii="仿宋_GB2312" w:eastAsia="仿宋_GB2312"/>
          <w:color w:val="000000"/>
          <w:sz w:val="32"/>
          <w:szCs w:val="32"/>
        </w:rPr>
        <w:t>事业单位离退休208（类）05（款）02（项）</w:t>
      </w:r>
      <w:r>
        <w:rPr>
          <w:rStyle w:val="20"/>
          <w:rFonts w:hint="eastAsia" w:ascii="仿宋_GB2312" w:hAnsi="仿宋" w:eastAsia="仿宋_GB2312"/>
          <w:b w:val="0"/>
          <w:bCs/>
          <w:color w:val="000000"/>
          <w:sz w:val="32"/>
          <w:szCs w:val="32"/>
        </w:rPr>
        <w:t>: 支出决算为0.1万元，完成预算100%。</w:t>
      </w:r>
    </w:p>
    <w:p>
      <w:pPr>
        <w:spacing w:line="560" w:lineRule="exact"/>
        <w:ind w:firstLine="640" w:firstLineChars="200"/>
        <w:rPr>
          <w:rFonts w:ascii="仿宋_GB2312" w:hAnsi="仿宋" w:eastAsia="仿宋_GB2312"/>
          <w:color w:val="000000"/>
          <w:sz w:val="32"/>
          <w:szCs w:val="32"/>
        </w:rPr>
      </w:pPr>
      <w:r>
        <w:rPr>
          <w:rStyle w:val="20"/>
          <w:rFonts w:hint="eastAsia" w:ascii="仿宋_GB2312" w:hAnsi="仿宋" w:eastAsia="仿宋_GB2312"/>
          <w:b w:val="0"/>
          <w:bCs/>
          <w:color w:val="000000"/>
          <w:sz w:val="32"/>
          <w:szCs w:val="32"/>
        </w:rPr>
        <w:t>5.</w:t>
      </w:r>
      <w:r>
        <w:rPr>
          <w:rFonts w:hint="eastAsia" w:ascii="仿宋_GB2312" w:eastAsia="仿宋_GB2312"/>
          <w:color w:val="000000"/>
          <w:sz w:val="32"/>
          <w:szCs w:val="32"/>
        </w:rPr>
        <w:t>大气211（类）03（款）01（项）</w:t>
      </w:r>
      <w:r>
        <w:rPr>
          <w:rStyle w:val="20"/>
          <w:rFonts w:hint="eastAsia" w:ascii="仿宋_GB2312" w:hAnsi="仿宋" w:eastAsia="仿宋_GB2312"/>
          <w:b w:val="0"/>
          <w:bCs/>
          <w:color w:val="000000"/>
          <w:sz w:val="32"/>
          <w:szCs w:val="32"/>
        </w:rPr>
        <w:t>: 支出决算为100.7万元，完成预算98.98%，决算数小于预算数的主要原因是项目尚未实施完毕，资金尚未支付完毕。</w:t>
      </w:r>
    </w:p>
    <w:p>
      <w:pPr>
        <w:spacing w:line="560" w:lineRule="exact"/>
        <w:ind w:firstLine="640" w:firstLineChars="200"/>
        <w:rPr>
          <w:rStyle w:val="20"/>
          <w:rFonts w:ascii="仿宋_GB2312" w:hAnsi="仿宋" w:eastAsia="仿宋_GB2312"/>
          <w:b w:val="0"/>
          <w:bCs/>
          <w:color w:val="000000"/>
          <w:sz w:val="32"/>
          <w:szCs w:val="32"/>
        </w:rPr>
      </w:pPr>
      <w:r>
        <w:rPr>
          <w:rStyle w:val="20"/>
          <w:rFonts w:hint="eastAsia" w:ascii="仿宋_GB2312" w:hAnsi="仿宋" w:eastAsia="仿宋_GB2312"/>
          <w:b w:val="0"/>
          <w:bCs/>
          <w:color w:val="000000"/>
          <w:sz w:val="32"/>
          <w:szCs w:val="32"/>
        </w:rPr>
        <w:t>6.</w:t>
      </w:r>
      <w:r>
        <w:rPr>
          <w:rFonts w:hint="eastAsia" w:ascii="仿宋_GB2312" w:eastAsia="仿宋_GB2312"/>
          <w:color w:val="000000"/>
          <w:sz w:val="32"/>
          <w:szCs w:val="32"/>
        </w:rPr>
        <w:t>行政运行220（类）05（款）01（项）</w:t>
      </w:r>
      <w:r>
        <w:rPr>
          <w:rStyle w:val="20"/>
          <w:rFonts w:hint="eastAsia" w:ascii="仿宋_GB2312" w:hAnsi="仿宋" w:eastAsia="仿宋_GB2312"/>
          <w:b w:val="0"/>
          <w:bCs/>
          <w:color w:val="000000"/>
          <w:sz w:val="32"/>
          <w:szCs w:val="32"/>
        </w:rPr>
        <w:t>:支出决算为0.6万元，完成预算100%。</w:t>
      </w:r>
    </w:p>
    <w:p>
      <w:pPr>
        <w:spacing w:line="560" w:lineRule="exact"/>
        <w:ind w:firstLine="640" w:firstLineChars="200"/>
        <w:rPr>
          <w:rFonts w:ascii="仿宋_GB2312" w:eastAsia="仿宋_GB2312"/>
          <w:color w:val="000000"/>
          <w:sz w:val="32"/>
          <w:szCs w:val="32"/>
        </w:rPr>
      </w:pPr>
      <w:r>
        <w:rPr>
          <w:rFonts w:hint="eastAsia" w:ascii="仿宋_GB2312" w:hAnsi="仿宋" w:eastAsia="仿宋_GB2312"/>
          <w:color w:val="000000"/>
          <w:sz w:val="32"/>
          <w:szCs w:val="32"/>
        </w:rPr>
        <w:t>7.</w:t>
      </w:r>
      <w:r>
        <w:rPr>
          <w:rFonts w:hint="eastAsia" w:ascii="仿宋_GB2312" w:eastAsia="仿宋_GB2312"/>
          <w:color w:val="000000"/>
          <w:sz w:val="32"/>
          <w:szCs w:val="32"/>
        </w:rPr>
        <w:t>气象事业机构220（类）05（款）04（项）:支出决算为74.15万元，完成预算100%。</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8.气象预报预测220（类）05（款）08（项）：支出决算为100万元，完成预算100%。</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9.气象服务220（类）05（款）09（项）: 支出决算为9.88万元，完成预算100%。</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10.</w:t>
      </w:r>
      <w:r>
        <w:rPr>
          <w:rFonts w:hint="eastAsia" w:ascii="仿宋_GB2312" w:hAnsi="Calibri" w:eastAsia="仿宋_GB2312"/>
          <w:color w:val="000000"/>
          <w:sz w:val="32"/>
          <w:szCs w:val="32"/>
        </w:rPr>
        <w:t>住房公积金221（类）02（款）01（项）:支出决算为6.57万元，完成预算100%。</w:t>
      </w:r>
    </w:p>
    <w:p>
      <w:pPr>
        <w:tabs>
          <w:tab w:val="right" w:pos="8306"/>
        </w:tabs>
        <w:spacing w:line="560" w:lineRule="exact"/>
        <w:ind w:firstLine="640" w:firstLineChars="200"/>
        <w:outlineLvl w:val="1"/>
        <w:rPr>
          <w:rStyle w:val="23"/>
        </w:rPr>
      </w:pPr>
      <w:bookmarkStart w:id="61" w:name="_Toc15396608"/>
      <w:bookmarkStart w:id="62" w:name="_Toc15377214"/>
      <w:bookmarkStart w:id="63" w:name="_Toc82012420"/>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3"/>
          <w:rFonts w:hint="eastAsia" w:ascii="黑体" w:hAnsi="黑体" w:eastAsia="黑体"/>
          <w:b w:val="0"/>
        </w:rPr>
        <w:t>般公共预算财政拨款基本支出决算情况说明</w:t>
      </w:r>
      <w:bookmarkEnd w:id="61"/>
      <w:bookmarkEnd w:id="62"/>
      <w:bookmarkEnd w:id="63"/>
      <w:r>
        <w:rPr>
          <w:rStyle w:val="23"/>
          <w:rFonts w:ascii="黑体" w:hAnsi="黑体" w:eastAsia="黑体"/>
          <w:b w:val="0"/>
        </w:rPr>
        <w:tab/>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2020年一般公共预算财政拨款基本支出194.81万元，其中：</w:t>
      </w:r>
    </w:p>
    <w:p>
      <w:pPr>
        <w:spacing w:line="560" w:lineRule="exact"/>
        <w:ind w:firstLine="640" w:firstLineChars="200"/>
        <w:rPr>
          <w:rFonts w:ascii="仿宋_GB2312" w:hAnsi="仿宋" w:eastAsia="仿宋_GB2312"/>
          <w:b/>
          <w:color w:val="FF0000"/>
          <w:sz w:val="32"/>
          <w:szCs w:val="32"/>
        </w:rPr>
      </w:pPr>
      <w:r>
        <w:rPr>
          <w:rFonts w:hint="eastAsia" w:ascii="仿宋_GB2312" w:hAnsi="仿宋" w:eastAsia="仿宋_GB2312"/>
          <w:color w:val="000000"/>
          <w:sz w:val="32"/>
          <w:szCs w:val="32"/>
        </w:rPr>
        <w:t>人员经费179.38万元，主要包括：</w:t>
      </w:r>
      <w:r>
        <w:rPr>
          <w:rFonts w:hint="eastAsia" w:ascii="仿宋_GB2312" w:eastAsia="仿宋_GB2312"/>
          <w:color w:val="000000"/>
          <w:sz w:val="32"/>
          <w:szCs w:val="32"/>
        </w:rPr>
        <w:t>基本工资、津贴补贴、奖金、绩效工资、机关事业单位基本养老保险缴费、职业年金缴费、职工基本医疗保险缴费、其他社会保障缴费、其他工资福利支出、住房公积金、奖励金</w:t>
      </w:r>
      <w:r>
        <w:rPr>
          <w:rFonts w:hint="eastAsia" w:ascii="仿宋_GB2312" w:hAnsi="仿宋" w:eastAsia="仿宋_GB2312"/>
          <w:color w:val="000000"/>
          <w:sz w:val="32"/>
          <w:szCs w:val="32"/>
        </w:rPr>
        <w:t>。</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rPr>
        <w:t>　　日常公用经费15.43万元，主要包括：</w:t>
      </w:r>
      <w:r>
        <w:rPr>
          <w:rFonts w:hint="eastAsia" w:ascii="仿宋_GB2312" w:eastAsia="仿宋_GB2312"/>
          <w:color w:val="000000"/>
          <w:sz w:val="32"/>
          <w:szCs w:val="32"/>
        </w:rPr>
        <w:t>办公费、印刷费、差旅费、租赁费、会议费、培训费、公务接待费、劳务费、工会经费、福利费、公务用车运行维护费、其他商品和服务支出</w:t>
      </w:r>
      <w:r>
        <w:rPr>
          <w:rFonts w:hint="eastAsia" w:ascii="仿宋_GB2312" w:hAnsi="仿宋" w:eastAsia="仿宋_GB2312"/>
          <w:color w:val="000000"/>
          <w:sz w:val="32"/>
          <w:szCs w:val="32"/>
        </w:rPr>
        <w:t>。</w:t>
      </w:r>
    </w:p>
    <w:p>
      <w:pPr>
        <w:spacing w:line="560" w:lineRule="exact"/>
        <w:ind w:firstLine="640" w:firstLineChars="200"/>
        <w:outlineLvl w:val="1"/>
        <w:rPr>
          <w:rStyle w:val="23"/>
          <w:rFonts w:ascii="黑体" w:hAnsi="黑体" w:eastAsia="黑体"/>
          <w:b w:val="0"/>
        </w:rPr>
      </w:pPr>
      <w:bookmarkStart w:id="64" w:name="_Toc15396609"/>
      <w:bookmarkStart w:id="65" w:name="_Toc15377215"/>
      <w:bookmarkStart w:id="66" w:name="_Toc82012421"/>
      <w:r>
        <w:rPr>
          <w:rFonts w:hint="eastAsia" w:ascii="黑体" w:eastAsia="黑体"/>
          <w:color w:val="000000"/>
          <w:sz w:val="32"/>
          <w:szCs w:val="32"/>
        </w:rPr>
        <w:t>七、</w:t>
      </w:r>
      <w:r>
        <w:rPr>
          <w:rStyle w:val="23"/>
          <w:rFonts w:hint="eastAsia" w:ascii="黑体" w:hAnsi="黑体" w:eastAsia="黑体"/>
        </w:rPr>
        <w:t>“</w:t>
      </w:r>
      <w:r>
        <w:rPr>
          <w:rStyle w:val="23"/>
          <w:rFonts w:hint="eastAsia" w:ascii="黑体" w:hAnsi="黑体" w:eastAsia="黑体"/>
          <w:b w:val="0"/>
        </w:rPr>
        <w:t>三公”经费财政拨款支出决算情况说明</w:t>
      </w:r>
      <w:bookmarkEnd w:id="64"/>
      <w:bookmarkEnd w:id="65"/>
      <w:bookmarkEnd w:id="66"/>
    </w:p>
    <w:p>
      <w:pPr>
        <w:spacing w:line="560" w:lineRule="exact"/>
        <w:ind w:firstLine="640" w:firstLineChars="200"/>
        <w:outlineLvl w:val="2"/>
        <w:rPr>
          <w:rFonts w:ascii="楷体_GB2312" w:hAnsi="仿宋" w:eastAsia="楷体_GB2312"/>
          <w:color w:val="000000"/>
          <w:sz w:val="32"/>
          <w:szCs w:val="32"/>
        </w:rPr>
      </w:pPr>
      <w:bookmarkStart w:id="67" w:name="_Toc15377216"/>
      <w:bookmarkStart w:id="68" w:name="_Toc82012422"/>
      <w:r>
        <w:rPr>
          <w:rFonts w:hint="eastAsia" w:ascii="楷体_GB2312" w:hAnsi="仿宋" w:eastAsia="楷体_GB2312"/>
          <w:color w:val="000000"/>
          <w:sz w:val="32"/>
          <w:szCs w:val="32"/>
        </w:rPr>
        <w:t>（一）“三公”经费财政拨款支出决算总体情况说明</w:t>
      </w:r>
      <w:bookmarkEnd w:id="67"/>
      <w:bookmarkEnd w:id="68"/>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年“三公”经费财政拨款支出决算为2.9万元，完成预算100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spacing w:line="560" w:lineRule="exact"/>
        <w:ind w:firstLine="640" w:firstLineChars="200"/>
        <w:outlineLvl w:val="2"/>
        <w:rPr>
          <w:rFonts w:ascii="仿宋" w:hAnsi="仿宋" w:eastAsia="仿宋"/>
          <w:b/>
          <w:color w:val="000000"/>
          <w:sz w:val="32"/>
          <w:szCs w:val="32"/>
        </w:rPr>
      </w:pPr>
      <w:bookmarkStart w:id="69" w:name="_Toc15377217"/>
      <w:bookmarkStart w:id="70" w:name="_Toc82012423"/>
      <w:r>
        <w:rPr>
          <w:rFonts w:hint="eastAsia" w:ascii="楷体_GB2312" w:hAnsi="仿宋" w:eastAsia="楷体_GB2312"/>
          <w:color w:val="000000"/>
          <w:sz w:val="32"/>
          <w:szCs w:val="32"/>
        </w:rPr>
        <w:t>（二）“三公”经费财政拨款支出决算具体情况说明</w:t>
      </w:r>
      <w:bookmarkEnd w:id="69"/>
      <w:bookmarkEnd w:id="70"/>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年“三公”经费财政拨款支出决算中，因公出国（境）费支出决算0万元，占0</w:t>
      </w:r>
      <w:r>
        <w:rPr>
          <w:rFonts w:ascii="仿宋_GB2312" w:eastAsia="仿宋_GB2312"/>
          <w:color w:val="000000"/>
          <w:sz w:val="32"/>
          <w:szCs w:val="32"/>
        </w:rPr>
        <w:t>%</w:t>
      </w:r>
      <w:r>
        <w:rPr>
          <w:rFonts w:hint="eastAsia" w:ascii="仿宋_GB2312" w:eastAsia="仿宋_GB2312"/>
          <w:color w:val="000000"/>
          <w:sz w:val="32"/>
          <w:szCs w:val="32"/>
        </w:rPr>
        <w:t>；公务用车购置及运行维护费支出决算2.4万元，占82.76</w:t>
      </w:r>
      <w:r>
        <w:rPr>
          <w:rFonts w:ascii="仿宋_GB2312" w:eastAsia="仿宋_GB2312"/>
          <w:color w:val="000000"/>
          <w:sz w:val="32"/>
          <w:szCs w:val="32"/>
        </w:rPr>
        <w:t>%</w:t>
      </w:r>
      <w:r>
        <w:rPr>
          <w:rFonts w:hint="eastAsia" w:ascii="仿宋_GB2312" w:eastAsia="仿宋_GB2312"/>
          <w:color w:val="000000"/>
          <w:sz w:val="32"/>
          <w:szCs w:val="32"/>
        </w:rPr>
        <w:t>；公务接待费支出决算0.5万元，占17.24</w:t>
      </w:r>
      <w:r>
        <w:rPr>
          <w:rFonts w:ascii="仿宋_GB2312" w:eastAsia="仿宋_GB2312"/>
          <w:color w:val="000000"/>
          <w:sz w:val="32"/>
          <w:szCs w:val="32"/>
        </w:rPr>
        <w:t>%</w:t>
      </w:r>
      <w:r>
        <w:rPr>
          <w:rFonts w:hint="eastAsia" w:ascii="仿宋_GB2312" w:eastAsia="仿宋_GB2312"/>
          <w:color w:val="000000"/>
          <w:sz w:val="32"/>
          <w:szCs w:val="32"/>
        </w:rPr>
        <w:t>。具体情况如下：</w:t>
      </w:r>
    </w:p>
    <w:p>
      <w:pPr>
        <w:spacing w:line="560" w:lineRule="exact"/>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（图</w:t>
      </w:r>
      <w:r>
        <w:rPr>
          <w:rFonts w:asciiTheme="minorEastAsia" w:hAnsiTheme="minorEastAsia" w:eastAsiaTheme="minorEastAsia"/>
          <w:color w:val="000000"/>
          <w:sz w:val="24"/>
        </w:rPr>
        <w:t>7</w:t>
      </w:r>
      <w:r>
        <w:rPr>
          <w:rFonts w:hint="eastAsia" w:asciiTheme="minorEastAsia" w:hAnsiTheme="minorEastAsia" w:eastAsiaTheme="minorEastAsia"/>
          <w:color w:val="000000"/>
          <w:sz w:val="24"/>
        </w:rPr>
        <w:t>：“三公”经费财政拨款支出结构）（饼状图）</w:t>
      </w:r>
    </w:p>
    <w:p>
      <w:pPr>
        <w:spacing w:line="240" w:lineRule="atLeast"/>
        <w:ind w:firstLine="641"/>
        <w:jc w:val="center"/>
        <w:rPr>
          <w:rFonts w:ascii="仿宋" w:hAnsi="仿宋" w:eastAsia="仿宋"/>
          <w:color w:val="000000"/>
          <w:sz w:val="32"/>
          <w:szCs w:val="32"/>
        </w:rPr>
      </w:pPr>
      <w:r>
        <w:drawing>
          <wp:inline distT="0" distB="0" distL="0" distR="0">
            <wp:extent cx="4210050" cy="1962150"/>
            <wp:effectExtent l="0" t="0" r="19050" b="190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60" w:lineRule="exact"/>
        <w:ind w:firstLine="643" w:firstLineChars="200"/>
        <w:rPr>
          <w:rFonts w:ascii="仿宋_GB2312" w:hAnsi="仿宋" w:eastAsia="仿宋_GB2312"/>
          <w:color w:val="000000"/>
          <w:sz w:val="32"/>
          <w:szCs w:val="32"/>
        </w:rPr>
      </w:pPr>
      <w:r>
        <w:rPr>
          <w:rFonts w:hint="eastAsia" w:ascii="仿宋_GB2312" w:eastAsia="仿宋_GB2312"/>
          <w:b/>
          <w:color w:val="000000"/>
          <w:sz w:val="32"/>
          <w:szCs w:val="32"/>
        </w:rPr>
        <w:t>1.因公出国（境）经费支出</w:t>
      </w:r>
      <w:r>
        <w:rPr>
          <w:rFonts w:hint="eastAsia" w:ascii="仿宋_GB2312" w:eastAsia="仿宋_GB2312"/>
          <w:color w:val="000000"/>
          <w:sz w:val="32"/>
          <w:szCs w:val="32"/>
        </w:rPr>
        <w:t>0万元。</w:t>
      </w: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2.公务用车购置及运行维护费支出</w:t>
      </w:r>
      <w:r>
        <w:rPr>
          <w:rFonts w:hint="eastAsia" w:ascii="仿宋_GB2312" w:eastAsia="仿宋_GB2312"/>
          <w:color w:val="000000"/>
          <w:sz w:val="32"/>
          <w:szCs w:val="32"/>
        </w:rPr>
        <w:t>2.4万元,</w:t>
      </w:r>
      <w:r>
        <w:rPr>
          <w:rStyle w:val="20"/>
          <w:rFonts w:hint="eastAsia" w:ascii="仿宋_GB2312" w:hAnsi="仿宋" w:eastAsia="仿宋_GB2312"/>
          <w:b w:val="0"/>
          <w:bCs/>
          <w:color w:val="000000"/>
          <w:sz w:val="32"/>
          <w:szCs w:val="32"/>
        </w:rPr>
        <w:t>完成预算100%。</w:t>
      </w:r>
      <w:r>
        <w:rPr>
          <w:rFonts w:hint="eastAsia" w:ascii="仿宋_GB2312" w:hAnsi="仿宋" w:eastAsia="仿宋_GB2312"/>
          <w:color w:val="000000"/>
          <w:sz w:val="32"/>
          <w:szCs w:val="32"/>
        </w:rPr>
        <w:t>公务用车购置及运行维护费支出决算比2019年增加0.36万元，增长17.6%。主要原因是扶贫下乡次数较多，人工影响天气作业次数比往年有所增加，造成车辆运行维护费用增加。</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r>
        <w:rPr>
          <w:rFonts w:hint="eastAsia" w:ascii="仿宋_GB2312" w:hAnsi="仿宋" w:eastAsia="仿宋_GB2312"/>
          <w:color w:val="000000"/>
          <w:sz w:val="32"/>
          <w:szCs w:val="32"/>
        </w:rPr>
        <w:t>全年按规定更新购置公务用车0辆。截至2020年12月底，单位共有公务用车2辆，其中：其他车型2辆。</w:t>
      </w:r>
    </w:p>
    <w:p>
      <w:pPr>
        <w:spacing w:line="560" w:lineRule="exact"/>
        <w:ind w:firstLine="643" w:firstLineChars="200"/>
        <w:rPr>
          <w:rFonts w:ascii="仿宋_GB2312" w:hAnsi="仿宋"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2.4万元。</w:t>
      </w:r>
      <w:r>
        <w:rPr>
          <w:rFonts w:hint="eastAsia" w:ascii="仿宋_GB2312" w:hAnsi="仿宋" w:eastAsia="仿宋_GB2312"/>
          <w:color w:val="000000"/>
          <w:sz w:val="32"/>
          <w:szCs w:val="32"/>
        </w:rPr>
        <w:t>主要用于</w:t>
      </w:r>
      <w:r>
        <w:rPr>
          <w:rFonts w:hint="eastAsia" w:ascii="仿宋_GB2312" w:eastAsia="仿宋_GB2312"/>
          <w:color w:val="000000"/>
          <w:sz w:val="32"/>
          <w:szCs w:val="32"/>
        </w:rPr>
        <w:t>人工影响天气作业、扶贫</w:t>
      </w:r>
      <w:r>
        <w:rPr>
          <w:rFonts w:hint="eastAsia" w:ascii="仿宋_GB2312" w:hAnsi="仿宋" w:eastAsia="仿宋_GB2312"/>
          <w:color w:val="000000"/>
          <w:sz w:val="32"/>
          <w:szCs w:val="32"/>
        </w:rPr>
        <w:t>等所需的公务用车燃料费、维修费、过路过桥费、保险费等支出。</w:t>
      </w:r>
    </w:p>
    <w:p>
      <w:pPr>
        <w:spacing w:line="560" w:lineRule="exact"/>
        <w:ind w:firstLine="643" w:firstLineChars="200"/>
        <w:rPr>
          <w:rFonts w:ascii="仿宋_GB2312" w:hAnsi="仿宋" w:eastAsia="仿宋_GB2312"/>
          <w:color w:val="000000"/>
          <w:sz w:val="32"/>
          <w:szCs w:val="32"/>
        </w:rPr>
      </w:pPr>
      <w:r>
        <w:rPr>
          <w:rFonts w:hint="eastAsia" w:ascii="仿宋_GB2312" w:eastAsia="仿宋_GB2312"/>
          <w:b/>
          <w:color w:val="000000"/>
          <w:sz w:val="32"/>
          <w:szCs w:val="32"/>
        </w:rPr>
        <w:t>3.公务接待费支出</w:t>
      </w:r>
      <w:r>
        <w:rPr>
          <w:rFonts w:hint="eastAsia" w:ascii="仿宋_GB2312" w:eastAsia="仿宋_GB2312"/>
          <w:color w:val="000000"/>
          <w:sz w:val="32"/>
          <w:szCs w:val="32"/>
        </w:rPr>
        <w:t>0.5万元，</w:t>
      </w:r>
      <w:r>
        <w:rPr>
          <w:rStyle w:val="20"/>
          <w:rFonts w:hint="eastAsia" w:ascii="仿宋_GB2312" w:hAnsi="仿宋" w:eastAsia="仿宋_GB2312"/>
          <w:b w:val="0"/>
          <w:bCs/>
          <w:color w:val="000000"/>
          <w:sz w:val="32"/>
          <w:szCs w:val="32"/>
        </w:rPr>
        <w:t>完成预算100%。</w:t>
      </w:r>
      <w:r>
        <w:rPr>
          <w:rFonts w:hint="eastAsia" w:ascii="仿宋_GB2312" w:hAnsi="仿宋" w:eastAsia="仿宋_GB2312"/>
          <w:color w:val="000000"/>
          <w:sz w:val="32"/>
          <w:szCs w:val="32"/>
        </w:rPr>
        <w:t>公务接待费支出决算比2019年减少0.53万元，下降51.46%。主要原因是厉行节约，压缩开支。其中：</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国内公务接待支出0.5万元，主要用于开展业务活动开支的用餐费。国内公务接待6批次，65人次（不包括陪同人员），共计支出0.5万元，具体内容包括：开展检查调研1008元、开展火箭发射架年检900元、开展人影作业学习交流747元、指导党风廉政建设和对口帮扶工作584元、开展调研和扶贫慰问924元、检查汛期气象服务工作837元。</w:t>
      </w:r>
    </w:p>
    <w:p>
      <w:pPr>
        <w:spacing w:line="560" w:lineRule="exact"/>
        <w:ind w:firstLine="640" w:firstLineChars="200"/>
        <w:rPr>
          <w:rFonts w:ascii="仿宋_GB2312" w:eastAsia="仿宋_GB2312"/>
          <w:color w:val="000000"/>
          <w:sz w:val="32"/>
          <w:szCs w:val="32"/>
        </w:rPr>
      </w:pPr>
      <w:r>
        <w:rPr>
          <w:rFonts w:hint="eastAsia" w:ascii="仿宋_GB2312" w:hAnsi="仿宋" w:eastAsia="仿宋_GB2312"/>
          <w:color w:val="000000"/>
          <w:sz w:val="32"/>
          <w:szCs w:val="32"/>
        </w:rPr>
        <w:t>外事接待支出0万元，外事接待0批次，0人，共计支出0万元。</w:t>
      </w:r>
      <w:bookmarkStart w:id="71" w:name="_Toc15396610"/>
      <w:bookmarkStart w:id="72" w:name="_Toc15377218"/>
    </w:p>
    <w:p>
      <w:pPr>
        <w:spacing w:line="560" w:lineRule="exact"/>
        <w:ind w:firstLine="640" w:firstLineChars="200"/>
        <w:outlineLvl w:val="1"/>
        <w:rPr>
          <w:rStyle w:val="23"/>
          <w:rFonts w:ascii="黑体" w:hAnsi="黑体" w:eastAsia="黑体"/>
        </w:rPr>
      </w:pPr>
      <w:bookmarkStart w:id="73" w:name="_Toc82012424"/>
      <w:r>
        <w:rPr>
          <w:rFonts w:hint="eastAsia" w:ascii="黑体" w:eastAsia="黑体"/>
          <w:color w:val="000000"/>
          <w:sz w:val="32"/>
          <w:szCs w:val="32"/>
        </w:rPr>
        <w:t>八、</w:t>
      </w:r>
      <w:r>
        <w:rPr>
          <w:rStyle w:val="23"/>
          <w:rFonts w:hint="eastAsia" w:ascii="黑体" w:hAnsi="黑体" w:eastAsia="黑体"/>
          <w:b w:val="0"/>
        </w:rPr>
        <w:t>政府性基金预算支出决算情况说明</w:t>
      </w:r>
      <w:bookmarkEnd w:id="71"/>
      <w:bookmarkEnd w:id="72"/>
      <w:bookmarkEnd w:id="73"/>
    </w:p>
    <w:p>
      <w:pPr>
        <w:spacing w:line="560" w:lineRule="exact"/>
        <w:ind w:firstLine="640" w:firstLineChars="200"/>
        <w:rPr>
          <w:rFonts w:ascii="仿宋_GB2312" w:eastAsia="仿宋_GB2312"/>
          <w:color w:val="000000"/>
          <w:sz w:val="32"/>
          <w:szCs w:val="32"/>
        </w:rPr>
      </w:pPr>
      <w:r>
        <w:rPr>
          <w:rFonts w:hint="eastAsia" w:ascii="仿宋_GB2312" w:hAnsi="仿宋" w:eastAsia="仿宋_GB2312"/>
          <w:color w:val="000000"/>
          <w:sz w:val="32"/>
          <w:szCs w:val="32"/>
        </w:rPr>
        <w:t>2020年政府性基金预算拨款支出0万元。</w:t>
      </w:r>
    </w:p>
    <w:p>
      <w:pPr>
        <w:spacing w:line="560" w:lineRule="exact"/>
        <w:ind w:firstLine="640" w:firstLineChars="200"/>
        <w:outlineLvl w:val="1"/>
        <w:rPr>
          <w:rStyle w:val="23"/>
          <w:rFonts w:ascii="黑体" w:hAnsi="黑体" w:eastAsia="黑体"/>
          <w:b w:val="0"/>
        </w:rPr>
      </w:pPr>
      <w:bookmarkStart w:id="74" w:name="_Toc15396611"/>
      <w:bookmarkStart w:id="75" w:name="_Toc15377219"/>
      <w:bookmarkStart w:id="76" w:name="_Toc82012425"/>
      <w:r>
        <w:rPr>
          <w:rStyle w:val="23"/>
          <w:rFonts w:hint="eastAsia" w:ascii="黑体" w:hAnsi="黑体" w:eastAsia="黑体"/>
          <w:b w:val="0"/>
        </w:rPr>
        <w:t>九、国有资本经营预算支出决算情况说明</w:t>
      </w:r>
      <w:bookmarkEnd w:id="74"/>
      <w:bookmarkEnd w:id="75"/>
      <w:bookmarkEnd w:id="76"/>
    </w:p>
    <w:p>
      <w:pPr>
        <w:spacing w:line="560" w:lineRule="exact"/>
        <w:ind w:firstLine="640" w:firstLineChars="200"/>
        <w:rPr>
          <w:rFonts w:ascii="仿宋_GB2312" w:hAnsi="方正小标宋简体" w:eastAsia="仿宋_GB2312" w:cs="方正小标宋简体"/>
          <w:sz w:val="44"/>
          <w:szCs w:val="44"/>
        </w:rPr>
      </w:pPr>
      <w:r>
        <w:rPr>
          <w:rFonts w:hint="eastAsia" w:ascii="仿宋_GB2312" w:hAnsi="仿宋" w:eastAsia="仿宋_GB2312"/>
          <w:color w:val="000000"/>
          <w:sz w:val="32"/>
          <w:szCs w:val="32"/>
        </w:rPr>
        <w:t>2020年国有资本经营预算拨款支出0万元。</w:t>
      </w:r>
    </w:p>
    <w:p>
      <w:pPr>
        <w:spacing w:line="560" w:lineRule="exact"/>
        <w:ind w:firstLine="640" w:firstLineChars="200"/>
        <w:outlineLvl w:val="1"/>
        <w:rPr>
          <w:rStyle w:val="23"/>
          <w:rFonts w:ascii="黑体" w:hAnsi="黑体" w:eastAsia="黑体"/>
        </w:rPr>
      </w:pPr>
      <w:bookmarkStart w:id="77" w:name="_Toc15377221"/>
      <w:bookmarkStart w:id="78" w:name="_Toc15396612"/>
      <w:bookmarkStart w:id="79" w:name="_Toc82012426"/>
      <w:r>
        <w:rPr>
          <w:rFonts w:hint="eastAsia" w:ascii="黑体" w:hAnsi="黑体" w:eastAsia="黑体"/>
          <w:color w:val="000000"/>
          <w:sz w:val="32"/>
          <w:szCs w:val="32"/>
        </w:rPr>
        <w:t>十、</w:t>
      </w:r>
      <w:r>
        <w:rPr>
          <w:rStyle w:val="23"/>
          <w:rFonts w:hint="eastAsia" w:ascii="黑体" w:hAnsi="黑体" w:eastAsia="黑体"/>
          <w:b w:val="0"/>
        </w:rPr>
        <w:t>其他重要事项的情况说明</w:t>
      </w:r>
      <w:bookmarkEnd w:id="77"/>
      <w:bookmarkEnd w:id="78"/>
      <w:bookmarkEnd w:id="79"/>
    </w:p>
    <w:p>
      <w:pPr>
        <w:spacing w:line="560" w:lineRule="exact"/>
        <w:ind w:firstLine="640" w:firstLineChars="200"/>
        <w:outlineLvl w:val="2"/>
        <w:rPr>
          <w:rFonts w:ascii="楷体_GB2312" w:hAnsi="仿宋" w:eastAsia="楷体_GB2312"/>
          <w:color w:val="000000"/>
          <w:sz w:val="32"/>
          <w:szCs w:val="32"/>
        </w:rPr>
      </w:pPr>
      <w:bookmarkStart w:id="80" w:name="_Toc15377222"/>
      <w:bookmarkStart w:id="81" w:name="_Toc82012427"/>
      <w:r>
        <w:rPr>
          <w:rFonts w:hint="eastAsia" w:ascii="楷体_GB2312" w:hAnsi="仿宋" w:eastAsia="楷体_GB2312"/>
          <w:color w:val="000000"/>
          <w:sz w:val="32"/>
          <w:szCs w:val="32"/>
        </w:rPr>
        <w:t>（一）机关运行经费支出情况</w:t>
      </w:r>
      <w:bookmarkEnd w:id="80"/>
      <w:bookmarkEnd w:id="81"/>
    </w:p>
    <w:p>
      <w:pPr>
        <w:spacing w:line="560" w:lineRule="exact"/>
        <w:ind w:firstLine="640" w:firstLineChars="200"/>
        <w:rPr>
          <w:rFonts w:ascii="仿宋_GB2312" w:hAnsi="仿宋" w:eastAsia="仿宋_GB2312"/>
          <w:b/>
          <w:color w:val="FF0000"/>
          <w:sz w:val="32"/>
          <w:szCs w:val="32"/>
        </w:rPr>
      </w:pPr>
      <w:r>
        <w:rPr>
          <w:rFonts w:hint="eastAsia" w:ascii="仿宋_GB2312" w:hAnsi="仿宋" w:eastAsia="仿宋_GB2312"/>
          <w:color w:val="000000"/>
          <w:sz w:val="32"/>
          <w:szCs w:val="32"/>
        </w:rPr>
        <w:t>由于我单位为其他事业单位，故无机关运行经</w:t>
      </w:r>
      <w:r>
        <w:rPr>
          <w:rFonts w:hint="eastAsia" w:ascii="仿宋_GB2312" w:hAnsi="仿宋" w:eastAsia="仿宋_GB2312"/>
          <w:sz w:val="32"/>
          <w:szCs w:val="32"/>
        </w:rPr>
        <w:t>费。</w:t>
      </w:r>
    </w:p>
    <w:p>
      <w:pPr>
        <w:spacing w:line="560" w:lineRule="exact"/>
        <w:ind w:firstLine="640" w:firstLineChars="200"/>
        <w:outlineLvl w:val="2"/>
        <w:rPr>
          <w:rFonts w:ascii="楷体_GB2312" w:hAnsi="仿宋" w:eastAsia="楷体_GB2312"/>
          <w:color w:val="000000"/>
          <w:sz w:val="32"/>
          <w:szCs w:val="32"/>
        </w:rPr>
      </w:pPr>
      <w:bookmarkStart w:id="82" w:name="_Toc15377223"/>
      <w:bookmarkStart w:id="83" w:name="_Toc82012428"/>
      <w:r>
        <w:rPr>
          <w:rFonts w:hint="eastAsia" w:ascii="楷体_GB2312" w:hAnsi="仿宋" w:eastAsia="楷体_GB2312"/>
          <w:color w:val="000000"/>
          <w:sz w:val="32"/>
          <w:szCs w:val="32"/>
        </w:rPr>
        <w:t>（二）政府采购支出情况</w:t>
      </w:r>
      <w:bookmarkEnd w:id="82"/>
      <w:bookmarkEnd w:id="83"/>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无。</w:t>
      </w:r>
    </w:p>
    <w:p>
      <w:pPr>
        <w:spacing w:line="560" w:lineRule="exact"/>
        <w:ind w:firstLine="640" w:firstLineChars="200"/>
        <w:outlineLvl w:val="2"/>
        <w:rPr>
          <w:rFonts w:ascii="楷体_GB2312" w:hAnsi="仿宋" w:eastAsia="楷体_GB2312"/>
          <w:color w:val="000000"/>
          <w:sz w:val="32"/>
          <w:szCs w:val="32"/>
        </w:rPr>
      </w:pPr>
      <w:bookmarkStart w:id="84" w:name="_Toc15377224"/>
      <w:bookmarkStart w:id="85" w:name="_Toc82012429"/>
      <w:r>
        <w:rPr>
          <w:rFonts w:hint="eastAsia" w:ascii="楷体_GB2312" w:hAnsi="仿宋" w:eastAsia="楷体_GB2312"/>
          <w:color w:val="000000"/>
          <w:sz w:val="32"/>
          <w:szCs w:val="32"/>
        </w:rPr>
        <w:t>（三）国有资产占有使用情况</w:t>
      </w:r>
      <w:bookmarkEnd w:id="84"/>
      <w:bookmarkEnd w:id="85"/>
    </w:p>
    <w:p>
      <w:pPr>
        <w:autoSpaceDE w:val="0"/>
        <w:autoSpaceDN w:val="0"/>
        <w:adjustRightInd w:val="0"/>
        <w:spacing w:line="560" w:lineRule="exact"/>
        <w:ind w:firstLine="640" w:firstLineChars="200"/>
        <w:jc w:val="left"/>
        <w:rPr>
          <w:rFonts w:ascii="仿宋_GB2312" w:hAnsi="仿宋" w:eastAsia="仿宋_GB2312"/>
          <w:b/>
          <w:color w:val="FF0000"/>
          <w:sz w:val="32"/>
          <w:szCs w:val="32"/>
        </w:rPr>
      </w:pPr>
      <w:r>
        <w:rPr>
          <w:rFonts w:hint="eastAsia" w:ascii="仿宋_GB2312" w:hAnsi="仿宋" w:eastAsia="仿宋_GB2312"/>
          <w:color w:val="000000"/>
          <w:sz w:val="32"/>
          <w:szCs w:val="32"/>
        </w:rPr>
        <w:t>截至2020年12月31日，共有车辆2辆，其中：主要领导干部用车0辆、机要通信用车0辆、应急保障用车0辆、其他用车2辆，其他用车主要是用于人影作业等。单价50万元以上通用设备0台（套），单价100万元以上专用设备0台（套）。</w:t>
      </w:r>
    </w:p>
    <w:p>
      <w:pPr>
        <w:spacing w:line="560" w:lineRule="exact"/>
        <w:ind w:firstLine="640" w:firstLineChars="200"/>
        <w:outlineLvl w:val="2"/>
        <w:rPr>
          <w:rFonts w:ascii="楷体_GB2312" w:hAnsi="仿宋" w:eastAsia="楷体_GB2312"/>
          <w:color w:val="000000"/>
          <w:sz w:val="32"/>
          <w:szCs w:val="32"/>
        </w:rPr>
      </w:pPr>
      <w:bookmarkStart w:id="86" w:name="_Toc82012430"/>
      <w:r>
        <w:rPr>
          <w:rFonts w:hint="eastAsia" w:ascii="楷体_GB2312" w:hAnsi="仿宋" w:eastAsia="楷体_GB2312"/>
          <w:color w:val="000000"/>
          <w:sz w:val="32"/>
          <w:szCs w:val="32"/>
        </w:rPr>
        <w:t>（四）预算绩效管理情况</w:t>
      </w:r>
      <w:bookmarkEnd w:id="86"/>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根据预算绩效管理要求，本单位在年初预算编制阶段，组织对扶贫工作、人影系统建设、央视天气预报播出等项目开展了预算事前绩效评估，对3个项目编制了绩效目标，预算执行过程中，</w:t>
      </w:r>
      <w:r>
        <w:rPr>
          <w:rFonts w:hint="eastAsia" w:ascii="仿宋_GB2312" w:hAnsi="仿宋" w:eastAsia="仿宋_GB2312"/>
          <w:color w:val="000000"/>
          <w:sz w:val="32"/>
          <w:szCs w:val="32"/>
          <w:lang w:eastAsia="zh-CN"/>
        </w:rPr>
        <w:t>对</w:t>
      </w:r>
      <w:r>
        <w:rPr>
          <w:rFonts w:hint="eastAsia" w:ascii="仿宋_GB2312" w:hAnsi="仿宋" w:eastAsia="仿宋_GB2312"/>
          <w:color w:val="000000"/>
          <w:sz w:val="32"/>
          <w:szCs w:val="32"/>
        </w:rPr>
        <w:t>选取</w:t>
      </w:r>
      <w:r>
        <w:rPr>
          <w:rFonts w:hint="eastAsia" w:ascii="仿宋_GB2312" w:hAnsi="仿宋" w:eastAsia="仿宋_GB2312"/>
          <w:color w:val="000000"/>
          <w:sz w:val="32"/>
          <w:szCs w:val="32"/>
          <w:lang w:eastAsia="zh-CN"/>
        </w:rPr>
        <w:t>的</w:t>
      </w:r>
      <w:r>
        <w:rPr>
          <w:rFonts w:hint="eastAsia" w:ascii="仿宋_GB2312" w:hAnsi="仿宋" w:eastAsia="仿宋_GB2312"/>
          <w:color w:val="000000"/>
          <w:sz w:val="32"/>
          <w:szCs w:val="32"/>
        </w:rPr>
        <w:t>3个项目开展绩效监控，年终执行完毕后，对3个项目开展了绩效目标完成情况自评。</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单位按要求对2020年部门整体支出开展绩效自评，从评价情况来看整体完成度很好，达到了年初预期目标。从评价情况来看各项目皆按照年初预算，质量指标、时效指标、成本指标、社会效益指标、满意度指标均达预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1.项目绩效目标完成情况</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本单位在2020年度部门决算中反映“广元人工影响天气系统建设项目”“扶贫工作专项经费”“央视天气预报播出经费”等3个项目绩效目标实际完成情况。</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（1）广元人工影响天气系统建设项目绩效目标完成情况综述。项目全年预算数9.88万元，执行数为9.88万元，完成预算的100%</w:t>
      </w:r>
      <w:r>
        <w:rPr>
          <w:rFonts w:hint="eastAsia" w:ascii="仿宋_GB2312" w:hAnsi="仿宋" w:eastAsia="仿宋_GB2312"/>
          <w:color w:val="000000"/>
          <w:sz w:val="32"/>
          <w:szCs w:val="32"/>
          <w:highlight w:val="none"/>
        </w:rPr>
        <w:t>。通过项目实施，建立和完善</w:t>
      </w:r>
      <w:r>
        <w:rPr>
          <w:rFonts w:hint="eastAsia" w:ascii="仿宋_GB2312" w:hAnsi="仿宋" w:eastAsia="仿宋_GB2312"/>
          <w:color w:val="000000"/>
          <w:sz w:val="32"/>
          <w:szCs w:val="32"/>
          <w:highlight w:val="none"/>
          <w:lang w:eastAsia="zh-CN"/>
        </w:rPr>
        <w:t>了</w:t>
      </w:r>
      <w:r>
        <w:rPr>
          <w:rFonts w:hint="eastAsia" w:ascii="仿宋_GB2312" w:hAnsi="仿宋" w:eastAsia="仿宋_GB2312"/>
          <w:color w:val="000000"/>
          <w:sz w:val="32"/>
          <w:szCs w:val="32"/>
          <w:highlight w:val="none"/>
        </w:rPr>
        <w:t>人工影响天气系统。建立人工影</w:t>
      </w:r>
      <w:r>
        <w:rPr>
          <w:rFonts w:hint="eastAsia" w:ascii="仿宋_GB2312" w:hAnsi="仿宋" w:eastAsia="仿宋_GB2312"/>
          <w:color w:val="000000"/>
          <w:sz w:val="32"/>
          <w:szCs w:val="32"/>
        </w:rPr>
        <w:t>响天气系统，通过人工增雨、防雹作业防御干旱、冰雹等气象灾害，降低森林火险等级和消减雾霾；通过增雨作业开发空中水资源，缓解地面、地下水资源不足的矛盾，同时改善空气质量、提高人民健康水平。</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（2）扶贫工作专项经费项目绩效目标完成情况综述。项目全年预算数5.12万元，执行数</w:t>
      </w:r>
      <w:bookmarkStart w:id="122" w:name="_GoBack"/>
      <w:bookmarkEnd w:id="122"/>
      <w:r>
        <w:rPr>
          <w:rFonts w:hint="eastAsia" w:ascii="仿宋_GB2312" w:hAnsi="仿宋" w:eastAsia="仿宋_GB2312"/>
          <w:color w:val="000000"/>
          <w:sz w:val="32"/>
          <w:szCs w:val="32"/>
        </w:rPr>
        <w:t>为5.12万元，完成预算的100%。通过项目实施，市气象局根据市委市政府脱贫攻坚任务安排，帮扶旺苍县贫困村1个，非贫困村2个。2020年全面完成精准扶贫年度帮扶工作任务。</w:t>
      </w:r>
    </w:p>
    <w:p>
      <w:pPr>
        <w:spacing w:line="560" w:lineRule="exact"/>
        <w:ind w:firstLine="640" w:firstLineChars="200"/>
        <w:rPr>
          <w:rFonts w:ascii="仿宋" w:hAnsi="仿宋" w:eastAsia="仿宋"/>
          <w:color w:val="000000"/>
          <w:sz w:val="32"/>
          <w:szCs w:val="32"/>
        </w:rPr>
      </w:pPr>
      <w:r>
        <w:rPr>
          <w:rFonts w:hint="eastAsia" w:ascii="仿宋_GB2312" w:hAnsi="仿宋" w:eastAsia="仿宋_GB2312"/>
          <w:color w:val="000000"/>
          <w:sz w:val="32"/>
          <w:szCs w:val="32"/>
        </w:rPr>
        <w:t>（3）央视天气预报播出经费项目绩效目标完成情况综述。项目全年预算数100万元，执行数为100万元，完成预算的100%。通过项目实施，把电视天气预报节目作为气象为广大群众服务的重要窗口，丰富节目内容，提高节目质量水平，更好地为广元地方经济、人民的日常生活服务。</w:t>
      </w:r>
    </w:p>
    <w:p>
      <w:pPr>
        <w:spacing w:line="580" w:lineRule="exact"/>
        <w:rPr>
          <w:rFonts w:ascii="仿宋" w:hAnsi="仿宋" w:eastAsia="仿宋"/>
          <w:color w:val="000000"/>
          <w:sz w:val="32"/>
          <w:szCs w:val="32"/>
        </w:rPr>
      </w:pPr>
    </w:p>
    <w:p>
      <w:pPr>
        <w:spacing w:line="580" w:lineRule="exact"/>
        <w:rPr>
          <w:rFonts w:ascii="仿宋" w:hAnsi="仿宋" w:eastAsia="仿宋"/>
          <w:color w:val="000000"/>
          <w:sz w:val="32"/>
          <w:szCs w:val="32"/>
        </w:rPr>
      </w:pPr>
    </w:p>
    <w:p>
      <w:pPr>
        <w:spacing w:line="580" w:lineRule="exact"/>
        <w:rPr>
          <w:rFonts w:ascii="仿宋" w:hAnsi="仿宋" w:eastAsia="仿宋"/>
          <w:color w:val="000000"/>
          <w:sz w:val="32"/>
          <w:szCs w:val="32"/>
        </w:rPr>
      </w:pPr>
    </w:p>
    <w:tbl>
      <w:tblPr>
        <w:tblStyle w:val="1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spacing w:line="700" w:lineRule="exact"/>
              <w:jc w:val="center"/>
              <w:textAlignment w:val="center"/>
              <w:rPr>
                <w:rFonts w:ascii="方正小标宋简体" w:eastAsia="方正小标宋简体" w:cs="宋体"/>
                <w:bCs/>
                <w:color w:val="000000"/>
                <w:kern w:val="0"/>
                <w:sz w:val="44"/>
                <w:szCs w:val="44"/>
                <w:lang w:bidi="ar"/>
              </w:rPr>
            </w:pPr>
            <w:r>
              <w:rPr>
                <w:rFonts w:hint="eastAsia" w:ascii="方正小标宋简体" w:hAnsi="宋体" w:eastAsia="方正小标宋简体" w:cs="宋体"/>
                <w:bCs/>
                <w:color w:val="000000"/>
                <w:kern w:val="0"/>
                <w:sz w:val="44"/>
                <w:szCs w:val="44"/>
                <w:lang w:bidi="ar"/>
              </w:rPr>
              <w:t>项目绩效目标完成情况表</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lang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sz w:val="22"/>
                <w:szCs w:val="22"/>
              </w:rPr>
              <w:t>广元人工影响天气系统建设项目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广元市气象局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地处四川盆地北部山区，地形地貌复杂，干旱、风雹等气象灾害频繁，建立和完善人工影响天气系统尤其重要。建立人工影响天气系统，通过人工增雨、防雹作业防御干旱、冰雹等气象灾害，降低森林火险等级和消减雾霾；通过增雨作业开发空中水资源，缓解地面、地下水资源不足的矛盾，同时改善空气质量、提高人民健康水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地处四川盆地北部山区，地形地貌复杂，干旱、风雹等气象灾害频繁，建立和完善人工影响天气系统尤其重要。建立人工影响天气系统，通过人工增雨、防雹作业防御干旱、冰雹等气象灾害，降低森林火险等级和消减雾霾；通过增雨作业开发空中水资源，缓解地面、地下水资源不足的矛盾，同时改善空气质量、提高人民健康水平。</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指标1：购置设备、弹药，装备维修维护及升级）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2020年2月底前</w:t>
            </w:r>
            <w:r>
              <w:rPr>
                <w:rFonts w:hint="eastAsia" w:ascii="宋体" w:cs="宋体"/>
                <w:color w:val="000000"/>
                <w:sz w:val="24"/>
              </w:rPr>
              <w:tab/>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2020年2月底前</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指标2：组织实施阶段（人工增雨、防雹作业）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2020年3月至10月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2020年3月至10月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指标3：总结评估阶段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指标1：项目经费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9.88万元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指标1：人工增雨、防雹作业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通过人工增雨、防雹作业防御干旱、冰雹等气象灾害，消减雾霾影响，缓解地面、地下水资源不足的矛盾，同时改善空气质量、提高人民健康水平。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通过人工增雨、防雹作业防御干旱、冰雹等气象灾害，消减雾霾影响，缓解地面、地下水资源不足的矛盾，同时改善空气质量、提高人民健康水平。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通过人工增雨，降低森林火险等级，达到保护和修复生态目的。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通过人工增雨，降低森林火险等级，达到保护和修复生态目的。</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通过“耕云”计划实施，开发空中水资源，增加工程蓄水，促进云水资源利用持续发展。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通过“耕云”计划实施，开发空中水资源，增加工程蓄水，促进云水资源利用持续发展。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群众满意率90%以上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群众满意率90%以上</w:t>
            </w:r>
          </w:p>
        </w:tc>
      </w:tr>
    </w:tbl>
    <w:p>
      <w:pPr>
        <w:spacing w:line="580" w:lineRule="exact"/>
        <w:ind w:left="630"/>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spacing w:line="700" w:lineRule="exact"/>
              <w:jc w:val="center"/>
              <w:textAlignment w:val="center"/>
              <w:rPr>
                <w:rFonts w:ascii="方正小标宋简体" w:eastAsia="方正小标宋简体" w:cs="宋体"/>
                <w:bCs/>
                <w:color w:val="000000"/>
                <w:kern w:val="0"/>
                <w:sz w:val="44"/>
                <w:szCs w:val="44"/>
                <w:lang w:bidi="ar"/>
              </w:rPr>
            </w:pPr>
            <w:r>
              <w:rPr>
                <w:rFonts w:hint="eastAsia" w:ascii="方正小标宋简体" w:hAnsi="宋体" w:eastAsia="方正小标宋简体" w:cs="宋体"/>
                <w:bCs/>
                <w:color w:val="000000"/>
                <w:kern w:val="0"/>
                <w:sz w:val="44"/>
                <w:szCs w:val="44"/>
                <w:lang w:bidi="ar"/>
              </w:rPr>
              <w:t>项目绩效目标完成情况表</w:t>
            </w:r>
          </w:p>
          <w:p>
            <w:pPr>
              <w:widowControl/>
              <w:jc w:val="center"/>
              <w:textAlignment w:val="center"/>
              <w:rPr>
                <w:rFonts w:ascii="宋体" w:cs="宋体"/>
                <w:color w:val="000000"/>
                <w:sz w:val="36"/>
                <w:szCs w:val="36"/>
              </w:rPr>
            </w:pPr>
            <w:r>
              <w:rPr>
                <w:rFonts w:hint="eastAsia" w:ascii="宋体" w:cs="宋体"/>
                <w:bCs/>
                <w:color w:val="000000"/>
                <w:kern w:val="0"/>
                <w:sz w:val="36"/>
                <w:szCs w:val="36"/>
                <w:lang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cs="宋体"/>
                <w:bCs/>
                <w:color w:val="000000"/>
                <w:kern w:val="0"/>
                <w:sz w:val="36"/>
                <w:szCs w:val="36"/>
                <w:lang w:bidi="ar"/>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sz w:val="22"/>
                <w:szCs w:val="22"/>
              </w:rPr>
              <w:t>扶贫工作专项经费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广元市气象局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5.12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5.12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市气象局根据市委市政府脱贫攻坚任务安排，帮扶旺苍县贫困村1个，非贫困村2个。2020年全面完成精准扶贫年度帮扶工作任务。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市气象局根据市委市政府脱贫攻坚任务安排，帮扶旺苍县贫困村1个，非贫困村2个。2020年全面完成精准扶贫年度帮扶工作任务。</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指标1：扶贫工作专项经费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帮扶干部每月到村1次差旅费及驻村工作队生活补助费</w:t>
            </w:r>
            <w:r>
              <w:rPr>
                <w:rFonts w:hint="eastAsia" w:ascii="宋体" w:cs="宋体"/>
                <w:color w:val="000000"/>
                <w:sz w:val="24"/>
              </w:rPr>
              <w:tab/>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帮扶干部每月到村1次差旅费及驻村工作队生活补助费</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指标1：扶贫工作专项经费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确保已脱贫的贫困户不返贫并持续稳定增收.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确保已脱贫的贫困户不返贫并持续稳定增收.</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指标1：完成脱贫任务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2020年1月至2020年12月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2020年1月至2020年12月</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指标1：人员经费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3.12万元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3.12万元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指标1：公用经费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指标1：脱贫攻坚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全面完成扶贫年度帮扶工作任务。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全面完成扶贫年度帮扶工作任务。</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群众满意率90%以上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群众满意率90%以上</w:t>
            </w:r>
          </w:p>
        </w:tc>
      </w:tr>
    </w:tbl>
    <w:p>
      <w:pPr>
        <w:spacing w:line="580" w:lineRule="exact"/>
        <w:ind w:left="630"/>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175"/>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b/>
                <w:bCs/>
                <w:color w:val="000000"/>
                <w:kern w:val="0"/>
                <w:sz w:val="36"/>
                <w:szCs w:val="36"/>
                <w:lang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sz w:val="22"/>
                <w:szCs w:val="22"/>
              </w:rPr>
              <w:t>央视天气预报播出经费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广元市气象局</w:t>
            </w: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27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511"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把电视天气预报节目作为气象为广大群众服务的重要窗口，丰富节目内容，提高节目质量水平，更好地为广元地方经济、人民的日常生活服务。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把电视天气预报节目作为气象为广大群众服务的重要窗口，丰富节目内容，提高节目质量水平，更好地为广元地方经济、人民的日常生活服务。</w:t>
            </w:r>
          </w:p>
        </w:tc>
      </w:tr>
      <w:tr>
        <w:tblPrEx>
          <w:tblCellMar>
            <w:top w:w="0" w:type="dxa"/>
            <w:left w:w="0" w:type="dxa"/>
            <w:bottom w:w="0" w:type="dxa"/>
            <w:right w:w="0" w:type="dxa"/>
          </w:tblCellMar>
        </w:tblPrEx>
        <w:trPr>
          <w:trHeight w:val="1042"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129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指标1：广元城市天气预报2020年在央视顺利播出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2020年1月至2020年12月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2020年1月至2020年12月</w:t>
            </w:r>
          </w:p>
        </w:tc>
      </w:tr>
      <w:tr>
        <w:tblPrEx>
          <w:tblCellMar>
            <w:top w:w="0" w:type="dxa"/>
            <w:left w:w="0" w:type="dxa"/>
            <w:bottom w:w="0" w:type="dxa"/>
            <w:right w:w="0" w:type="dxa"/>
          </w:tblCellMar>
        </w:tblPrEx>
        <w:trPr>
          <w:trHeight w:val="104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指标1：项目经费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100万元</w:t>
            </w:r>
          </w:p>
        </w:tc>
      </w:tr>
      <w:tr>
        <w:tblPrEx>
          <w:tblCellMar>
            <w:top w:w="0" w:type="dxa"/>
            <w:left w:w="0" w:type="dxa"/>
            <w:bottom w:w="0" w:type="dxa"/>
            <w:right w:w="0" w:type="dxa"/>
          </w:tblCellMar>
        </w:tblPrEx>
        <w:trPr>
          <w:trHeight w:val="104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指标1：把电视天气预报节目作为气象为广大群众服务的重要窗口</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丰富节目内容，提高节目质量水平，更好地为广元地方经济、人民的日常生活服务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丰富节目内容，提高节目质量水平，更好地为广元地方经济、人民的日常生活服务</w:t>
            </w:r>
          </w:p>
        </w:tc>
      </w:tr>
      <w:tr>
        <w:tblPrEx>
          <w:tblCellMar>
            <w:top w:w="0" w:type="dxa"/>
            <w:left w:w="0" w:type="dxa"/>
            <w:bottom w:w="0" w:type="dxa"/>
            <w:right w:w="0" w:type="dxa"/>
          </w:tblCellMar>
        </w:tblPrEx>
        <w:trPr>
          <w:trHeight w:val="129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群众满意率90%以上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群众满意率90%以上</w:t>
            </w:r>
          </w:p>
        </w:tc>
      </w:tr>
    </w:tbl>
    <w:p>
      <w:pPr>
        <w:spacing w:line="58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2.部门绩效评价结果</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本单位按要求对2020年部门整体支出绩效评价情况开展自评，《广元市气象局2020年部门整体支出绩效评价报告》见附件（附件1）。</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br w:type="page"/>
      </w:r>
    </w:p>
    <w:p>
      <w:pPr>
        <w:spacing w:line="700" w:lineRule="exact"/>
        <w:jc w:val="center"/>
        <w:outlineLvl w:val="0"/>
        <w:rPr>
          <w:rStyle w:val="22"/>
          <w:rFonts w:ascii="方正小标宋简体" w:hAnsi="黑体" w:eastAsia="方正小标宋简体"/>
          <w:b w:val="0"/>
        </w:rPr>
      </w:pPr>
      <w:bookmarkStart w:id="87" w:name="_Toc15396613"/>
      <w:bookmarkStart w:id="88" w:name="_Toc15377225"/>
      <w:bookmarkStart w:id="89" w:name="_Toc82012431"/>
      <w:r>
        <w:rPr>
          <w:rFonts w:hint="eastAsia" w:ascii="方正小标宋简体" w:hAnsi="黑体" w:eastAsia="方正小标宋简体"/>
          <w:color w:val="000000"/>
          <w:sz w:val="44"/>
          <w:szCs w:val="44"/>
        </w:rPr>
        <w:t>第三部分 名</w:t>
      </w:r>
      <w:r>
        <w:rPr>
          <w:rStyle w:val="22"/>
          <w:rFonts w:hint="eastAsia" w:ascii="方正小标宋简体" w:hAnsi="黑体" w:eastAsia="方正小标宋简体"/>
          <w:b w:val="0"/>
        </w:rPr>
        <w:t>词解释</w:t>
      </w:r>
      <w:bookmarkEnd w:id="87"/>
      <w:bookmarkEnd w:id="88"/>
      <w:bookmarkEnd w:id="89"/>
    </w:p>
    <w:p>
      <w:pPr>
        <w:spacing w:line="560" w:lineRule="exact"/>
        <w:ind w:firstLine="883" w:firstLineChars="200"/>
        <w:rPr>
          <w:rFonts w:ascii="宋体"/>
          <w:b/>
          <w:color w:val="000000"/>
          <w:sz w:val="44"/>
          <w:szCs w:val="44"/>
        </w:rPr>
      </w:pPr>
    </w:p>
    <w:p>
      <w:pPr>
        <w:autoSpaceDE w:val="0"/>
        <w:autoSpaceDN w:val="0"/>
        <w:adjustRightInd w:val="0"/>
        <w:spacing w:line="560" w:lineRule="exact"/>
        <w:ind w:firstLine="640" w:firstLineChars="200"/>
        <w:rPr>
          <w:rFonts w:ascii="仿宋_GB2312" w:hAnsi="Calibri" w:eastAsia="仿宋_GB2312" w:cs="仿宋"/>
          <w:color w:val="000000"/>
          <w:sz w:val="32"/>
          <w:szCs w:val="32"/>
        </w:rPr>
      </w:pPr>
      <w:r>
        <w:rPr>
          <w:rFonts w:hint="eastAsia" w:ascii="仿宋_GB2312" w:hAnsi="Calibri" w:eastAsia="仿宋_GB2312" w:cs="仿宋"/>
          <w:color w:val="000000"/>
          <w:sz w:val="32"/>
          <w:szCs w:val="32"/>
        </w:rPr>
        <w:t>1.财政拨款收入：指单位从同级财政部门取得的财政预算资金。</w:t>
      </w:r>
    </w:p>
    <w:p>
      <w:pPr>
        <w:autoSpaceDE w:val="0"/>
        <w:autoSpaceDN w:val="0"/>
        <w:adjustRightInd w:val="0"/>
        <w:spacing w:line="560" w:lineRule="exact"/>
        <w:ind w:firstLine="640" w:firstLineChars="200"/>
        <w:rPr>
          <w:rFonts w:ascii="仿宋_GB2312" w:hAnsi="Calibri" w:eastAsia="仿宋_GB2312" w:cs="仿宋"/>
          <w:color w:val="000000"/>
          <w:sz w:val="32"/>
          <w:szCs w:val="32"/>
        </w:rPr>
      </w:pPr>
      <w:r>
        <w:rPr>
          <w:rFonts w:hint="eastAsia" w:ascii="仿宋_GB2312" w:hAnsi="Calibri" w:eastAsia="仿宋_GB2312" w:cs="仿宋"/>
          <w:color w:val="000000"/>
          <w:sz w:val="32"/>
          <w:szCs w:val="32"/>
        </w:rPr>
        <w:t xml:space="preserve">2.年初结转和结余：指以前年度尚未完成、结转到本年按有关规定继续使用的资金。 </w:t>
      </w:r>
    </w:p>
    <w:p>
      <w:pPr>
        <w:spacing w:line="560" w:lineRule="exact"/>
        <w:ind w:firstLine="640" w:firstLineChars="200"/>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rPr>
        <w:t>3.社会保障和就业（类）行政事业单位离退休（款）机关事业单位基本养老保险缴费支出（项）：地编人员养老保险缴费支出</w:t>
      </w:r>
      <w:r>
        <w:rPr>
          <w:rFonts w:hint="eastAsia" w:ascii="仿宋_GB2312" w:hAnsi="Calibri" w:eastAsia="仿宋_GB2312"/>
          <w:color w:val="000000"/>
          <w:sz w:val="32"/>
          <w:szCs w:val="32"/>
          <w:lang w:eastAsia="zh-CN"/>
        </w:rPr>
        <w:t>。</w:t>
      </w:r>
    </w:p>
    <w:p>
      <w:pPr>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4.卫生健康支出（类）行政事业单位医疗（款）行政单位医疗（项）：指在职人员医疗保险单位部分缴费。</w:t>
      </w:r>
    </w:p>
    <w:p>
      <w:pPr>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5.自然资源海洋气象等支出（类）气象事务（款）气象事业机构（项）：指气象部门事业人员人员经费及公用经费支出。</w:t>
      </w:r>
    </w:p>
    <w:p>
      <w:pPr>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6.住房保障支出（类）住房改</w:t>
      </w:r>
      <w:r>
        <w:rPr>
          <w:rFonts w:hint="eastAsia" w:ascii="宋体" w:hAnsi="宋体" w:cs="宋体"/>
          <w:color w:val="000000"/>
          <w:sz w:val="32"/>
          <w:szCs w:val="32"/>
        </w:rPr>
        <w:t>革支出</w:t>
      </w:r>
      <w:r>
        <w:rPr>
          <w:rFonts w:hint="eastAsia" w:ascii="仿宋_GB2312" w:hAnsi="Calibri" w:eastAsia="仿宋_GB2312"/>
          <w:color w:val="000000"/>
          <w:sz w:val="32"/>
          <w:szCs w:val="32"/>
        </w:rPr>
        <w:t>（款）住房公积金（项）：指在职人员单位部分住房公积金缴费。</w:t>
      </w:r>
    </w:p>
    <w:p>
      <w:pPr>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7.自然资源海洋气象等支出（类）气象事务（款） 气象预报预测（项）：主要指气象预报类业务项目经费开支。</w:t>
      </w:r>
    </w:p>
    <w:p>
      <w:pPr>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8.自然资源海洋气象等支出（类）气象事务（款）气象服务（项）：主要指人工影响天气等气象服务类业务项目开支。</w:t>
      </w:r>
    </w:p>
    <w:p>
      <w:pPr>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9.基本支出：指为保障机构正常运转、完成日常工作任务而发生的人员支出和公用支出。</w:t>
      </w:r>
    </w:p>
    <w:p>
      <w:pPr>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 xml:space="preserve">10.项目支出：指在基本支出之外为完成特定行政任务和事业发展目标所发生的支出。 </w:t>
      </w:r>
    </w:p>
    <w:p>
      <w:pPr>
        <w:autoSpaceDE w:val="0"/>
        <w:autoSpaceDN w:val="0"/>
        <w:adjustRightInd w:val="0"/>
        <w:spacing w:line="560" w:lineRule="exact"/>
        <w:ind w:firstLine="640" w:firstLineChars="200"/>
        <w:rPr>
          <w:rFonts w:ascii="仿宋_GB2312" w:hAnsi="Calibri" w:eastAsia="仿宋_GB2312" w:cs="仿宋"/>
          <w:color w:val="000000"/>
          <w:sz w:val="32"/>
          <w:szCs w:val="32"/>
        </w:rPr>
      </w:pPr>
      <w:r>
        <w:rPr>
          <w:rFonts w:hint="eastAsia" w:ascii="仿宋_GB2312" w:hAnsi="Calibri" w:eastAsia="仿宋_GB2312" w:cs="仿宋"/>
          <w:color w:val="000000"/>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13.项目支出：指在基本支出之外为完成特定行政任务和事业发展目标所发生的支出。 </w:t>
      </w:r>
    </w:p>
    <w:p>
      <w:pPr>
        <w:pStyle w:val="32"/>
        <w:spacing w:line="560" w:lineRule="exact"/>
        <w:ind w:firstLine="640" w:firstLineChars="200"/>
        <w:jc w:val="both"/>
        <w:rPr>
          <w:rFonts w:ascii="仿宋_GB2312" w:eastAsia="仿宋_GB2312"/>
          <w:sz w:val="32"/>
          <w:szCs w:val="32"/>
        </w:rPr>
      </w:pPr>
    </w:p>
    <w:p>
      <w:pPr>
        <w:spacing w:line="700" w:lineRule="exact"/>
        <w:jc w:val="center"/>
        <w:outlineLvl w:val="0"/>
        <w:rPr>
          <w:rStyle w:val="22"/>
          <w:rFonts w:ascii="方正小标宋简体" w:hAnsi="黑体" w:eastAsia="方正小标宋简体"/>
          <w:b w:val="0"/>
        </w:rPr>
      </w:pPr>
      <w:bookmarkStart w:id="90" w:name="_Toc15377226"/>
      <w:r>
        <w:rPr>
          <w:rFonts w:ascii="宋体"/>
          <w:b/>
          <w:color w:val="000000"/>
          <w:sz w:val="44"/>
          <w:szCs w:val="44"/>
        </w:rPr>
        <w:br w:type="page"/>
      </w:r>
      <w:bookmarkStart w:id="91" w:name="_Toc15396614"/>
      <w:bookmarkStart w:id="92" w:name="_Toc82012432"/>
      <w:r>
        <w:rPr>
          <w:rFonts w:hint="eastAsia" w:ascii="方正小标宋简体" w:hAnsi="黑体" w:eastAsia="方正小标宋简体"/>
          <w:color w:val="000000"/>
          <w:sz w:val="44"/>
          <w:szCs w:val="44"/>
        </w:rPr>
        <w:t>第</w:t>
      </w:r>
      <w:r>
        <w:rPr>
          <w:rStyle w:val="22"/>
          <w:rFonts w:hint="eastAsia" w:ascii="方正小标宋简体" w:hAnsi="黑体" w:eastAsia="方正小标宋简体"/>
          <w:b w:val="0"/>
        </w:rPr>
        <w:t>四部分 附件</w:t>
      </w:r>
      <w:bookmarkEnd w:id="91"/>
      <w:bookmarkEnd w:id="92"/>
    </w:p>
    <w:p>
      <w:pPr>
        <w:spacing w:line="560" w:lineRule="exact"/>
        <w:jc w:val="left"/>
        <w:outlineLvl w:val="0"/>
        <w:rPr>
          <w:rFonts w:ascii="方正小标宋简体" w:hAnsi="方正小标宋简体" w:eastAsia="方正小标宋简体" w:cs="方正小标宋简体"/>
          <w:sz w:val="32"/>
          <w:szCs w:val="32"/>
        </w:rPr>
      </w:pPr>
      <w:bookmarkStart w:id="93" w:name="_Toc82012433"/>
      <w:r>
        <w:rPr>
          <w:rFonts w:hint="eastAsia" w:ascii="黑体" w:hAnsi="黑体" w:eastAsia="黑体" w:cs="黑体"/>
          <w:sz w:val="32"/>
          <w:szCs w:val="32"/>
        </w:rPr>
        <w:t>附件</w:t>
      </w:r>
      <w:r>
        <w:rPr>
          <w:rFonts w:ascii="黑体" w:hAnsi="黑体" w:eastAsia="黑体" w:cs="黑体"/>
          <w:sz w:val="32"/>
          <w:szCs w:val="32"/>
        </w:rPr>
        <w:t>1</w:t>
      </w:r>
      <w:bookmarkEnd w:id="93"/>
    </w:p>
    <w:p>
      <w:pPr>
        <w:spacing w:line="56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广元市</w:t>
      </w:r>
      <w:r>
        <w:rPr>
          <w:rFonts w:ascii="方正小标宋简体" w:hAnsi="宋体" w:eastAsia="方正小标宋简体"/>
          <w:color w:val="000000"/>
          <w:kern w:val="0"/>
          <w:sz w:val="40"/>
          <w:szCs w:val="44"/>
        </w:rPr>
        <w:t>气象局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60" w:lineRule="exact"/>
        <w:ind w:firstLine="480" w:firstLineChars="200"/>
        <w:contextualSpacing/>
        <w:rPr>
          <w:rFonts w:ascii="仿宋_GB2312" w:hAnsi="宋体" w:eastAsia="仿宋_GB2312" w:cs="宋体"/>
          <w:color w:val="000000"/>
          <w:kern w:val="0"/>
          <w:sz w:val="24"/>
          <w:szCs w:val="32"/>
          <w:shd w:val="clear" w:color="auto" w:fill="FFFFFF"/>
        </w:rPr>
      </w:pP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lang w:val="zh-CN"/>
        </w:rPr>
      </w:pPr>
      <w:r>
        <w:rPr>
          <w:rFonts w:hint="eastAsia" w:ascii="黑体" w:hAnsi="黑体" w:eastAsia="黑体" w:cs="宋体"/>
          <w:color w:val="000000"/>
          <w:kern w:val="0"/>
          <w:sz w:val="32"/>
          <w:szCs w:val="32"/>
          <w:shd w:val="clear" w:color="auto" w:fill="FFFFFF"/>
        </w:rPr>
        <w:t>一、</w:t>
      </w:r>
      <w:r>
        <w:rPr>
          <w:rFonts w:hint="eastAsia" w:ascii="黑体" w:hAnsi="黑体" w:eastAsia="黑体" w:cs="宋体"/>
          <w:color w:val="000000"/>
          <w:kern w:val="0"/>
          <w:sz w:val="32"/>
          <w:szCs w:val="32"/>
          <w:shd w:val="clear" w:color="auto" w:fill="FFFFFF"/>
          <w:lang w:val="zh-CN"/>
        </w:rPr>
        <w:t>部门（单位）概况</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（一）机构组成</w:t>
      </w:r>
    </w:p>
    <w:p>
      <w:pPr>
        <w:spacing w:line="560" w:lineRule="exact"/>
        <w:ind w:firstLine="640" w:firstLineChars="200"/>
        <w:rPr>
          <w:rFonts w:ascii="仿宋_GB2312" w:hAnsi="仿宋" w:eastAsia="仿宋_GB2312" w:cs="仿宋_GB2312"/>
          <w:sz w:val="32"/>
          <w:szCs w:val="32"/>
        </w:rPr>
      </w:pPr>
      <w:r>
        <w:rPr>
          <w:rFonts w:hint="eastAsia" w:ascii="仿宋_GB2312" w:hAnsi="宋体" w:eastAsia="仿宋_GB2312"/>
          <w:sz w:val="32"/>
          <w:szCs w:val="32"/>
        </w:rPr>
        <w:t>广元市气象局为独立财务核算单位，财政预算一级拨款单位。</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（二）机构职能</w:t>
      </w:r>
    </w:p>
    <w:p>
      <w:pPr>
        <w:spacing w:line="560" w:lineRule="exact"/>
        <w:ind w:firstLine="518" w:firstLineChars="162"/>
        <w:rPr>
          <w:rFonts w:ascii="仿宋_GB2312" w:hAnsi="方正仿宋_GB2312" w:eastAsia="仿宋_GB2312" w:cs="方正仿宋_GB2312"/>
          <w:color w:val="333333"/>
          <w:sz w:val="32"/>
          <w:szCs w:val="32"/>
        </w:rPr>
      </w:pPr>
      <w:r>
        <w:rPr>
          <w:rFonts w:hint="eastAsia" w:ascii="仿宋_GB2312" w:hAnsi="方正仿宋_GB2312" w:eastAsia="仿宋_GB2312" w:cs="方正仿宋_GB2312"/>
          <w:color w:val="333333"/>
          <w:sz w:val="32"/>
          <w:szCs w:val="32"/>
        </w:rPr>
        <w:t>负责广元市行政区域内气象事业发展规划、计划及气象业务建设的组织实施；负责广元市行政区域内气象设施建设项目的审查；对广元市行政区域内的气象活动进行指导、监督和行业管理</w:t>
      </w:r>
      <w:r>
        <w:rPr>
          <w:rFonts w:hint="eastAsia" w:ascii="仿宋_GB2312" w:hAnsi="方正仿宋_GB2312" w:eastAsia="仿宋_GB2312" w:cs="方正仿宋_GB2312"/>
          <w:color w:val="333333"/>
          <w:sz w:val="32"/>
          <w:szCs w:val="32"/>
          <w:lang w:eastAsia="zh-CN"/>
        </w:rPr>
        <w:t>；</w:t>
      </w:r>
      <w:r>
        <w:rPr>
          <w:rFonts w:hint="eastAsia" w:ascii="仿宋_GB2312" w:hAnsi="方正仿宋_GB2312" w:eastAsia="仿宋_GB2312" w:cs="方正仿宋_GB2312"/>
          <w:color w:val="333333"/>
          <w:sz w:val="32"/>
          <w:szCs w:val="32"/>
        </w:rPr>
        <w:t>负责广元市行政区域内气象监测、预报管理，及时提出气象灾害防御措施，并对重大气象灾害做出评估，为本级人民政府组织防御气象灾害提供决策依据；管理广元市行政区域内公众气象预报、灾害性天气警报以及农业气象预报、城市环境气象预报、火险气象等级预报等专业气象预报的发布</w:t>
      </w:r>
      <w:r>
        <w:rPr>
          <w:rFonts w:hint="eastAsia" w:ascii="仿宋_GB2312" w:hAnsi="方正仿宋_GB2312" w:eastAsia="仿宋_GB2312" w:cs="方正仿宋_GB2312"/>
          <w:color w:val="333333"/>
          <w:sz w:val="32"/>
          <w:szCs w:val="32"/>
          <w:lang w:eastAsia="zh-CN"/>
        </w:rPr>
        <w:t>；</w:t>
      </w:r>
      <w:r>
        <w:rPr>
          <w:rFonts w:hint="eastAsia" w:ascii="仿宋_GB2312" w:hAnsi="方正仿宋_GB2312" w:eastAsia="仿宋_GB2312" w:cs="方正仿宋_GB2312"/>
          <w:color w:val="333333"/>
          <w:sz w:val="32"/>
          <w:szCs w:val="32"/>
        </w:rPr>
        <w:t>统一领导和管理广元市行政区域内气象部门的计划财务、人事劳动、科研和培训以及业务建设等工作；会同县人民政府对县气象机构实施以部门为主的双重管理；协助地方党委和人民政府做好当地气象部门的精神文明建设和想政治工作。</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（三）人员概况</w:t>
      </w:r>
    </w:p>
    <w:p>
      <w:pPr>
        <w:widowControl/>
        <w:adjustRightInd w:val="0"/>
        <w:snapToGrid w:val="0"/>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截止2020年12月底，我单位人员编制10人，在职人员7人。</w:t>
      </w: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二、部门财政资金收支情况</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（一）部门财政资金收入情况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000000"/>
          <w:kern w:val="0"/>
          <w:sz w:val="32"/>
          <w:szCs w:val="32"/>
          <w:shd w:val="clear" w:color="auto" w:fill="FFFFFF"/>
        </w:rPr>
      </w:pPr>
      <w:r>
        <w:rPr>
          <w:rFonts w:hint="eastAsia" w:ascii="仿宋_GB2312" w:hAnsi="仿宋" w:eastAsia="仿宋_GB2312"/>
          <w:color w:val="000000"/>
          <w:sz w:val="32"/>
          <w:szCs w:val="32"/>
        </w:rPr>
        <w:t>2020年财政拨款收、支总计407.03万元。与2019年相比，财政拨款收、支总计各增加101.01万元，增长33%。主要变动原因是人影项目预算增加。</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（二）部门财政资金支出情况</w:t>
      </w:r>
    </w:p>
    <w:p>
      <w:pPr>
        <w:spacing w:line="56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仿宋" w:eastAsia="仿宋_GB2312"/>
          <w:color w:val="000000"/>
          <w:sz w:val="32"/>
          <w:szCs w:val="32"/>
        </w:rPr>
        <w:t>2020年一般公共预算财政拨款支出405.98万元，占本年支出合计的94.58%。与2019年相比，一般公共预算财政拨款增加155.08万元，增长61.8%。主要变动原因是人影项目开支增加、新进人员等。</w:t>
      </w: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三、部门整体预算绩效管理情况</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（一）部门预算管理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在编制2020年部门预算时，严格按照市财政局要求，在规定时间内报送2020年度部门预算和项目绩效目标，未出现超期现象。按照市财政的口径要求及口径，结合我单位实际情况进行编制，基础信息和科目使用准确，单位编制、人员情况与供养系统横向联网数据相符。预算编制规范，项目名称、绩效指标、项目内容等说明符合规范，未出现虚报、漏报、错报的现象。严格按照所下达的预算执行，未进行预算调整。</w:t>
      </w:r>
      <w:r>
        <w:rPr>
          <w:rFonts w:hint="eastAsia" w:ascii="仿宋_GB2312" w:hAnsi="宋体" w:eastAsia="仿宋_GB2312" w:cs="宋体"/>
          <w:kern w:val="0"/>
          <w:sz w:val="32"/>
          <w:szCs w:val="32"/>
        </w:rPr>
        <w:t>严格按照市财政局相关要求，按时报送2020年度部门决算，决算数据编制准确，部门决算编制人员与供养人员系统数据相符。</w:t>
      </w:r>
      <w:r>
        <w:rPr>
          <w:rFonts w:hint="eastAsia" w:ascii="仿宋_GB2312" w:eastAsia="仿宋_GB2312"/>
          <w:sz w:val="32"/>
          <w:szCs w:val="32"/>
        </w:rPr>
        <w:t>单位预决算及绩效信息均按照市财政规定的时间段进行公开，未出现超时的现象。编报预算的过程中，均对所编报的项目建立了指标体系。</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（二）结果应用情况</w:t>
      </w:r>
    </w:p>
    <w:p>
      <w:pPr>
        <w:widowControl/>
        <w:adjustRightInd w:val="0"/>
        <w:snapToGrid w:val="0"/>
        <w:spacing w:line="560"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我单位严格按照预算编报的项目指标体系执行，做到整体支出符合要求，对支出过程中未达标的指标及时跟进并采取措施整改到位，均达到了年初预定目标。</w:t>
      </w: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四、评价结论及建议</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（一）评价结论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部门整体支出绩效评价得分为99.99分，部门支出绩效评价扣分原因为：按照部门预算执行进度执行标准，我单位2020年财政拨款预算407.03万元，实际支出405.98万元,，（405.98/407.03）*3=2.99，扣除0.01分。我单位总体绩效评价最终得分为99.99分。</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（二）存在问题</w:t>
      </w:r>
    </w:p>
    <w:p>
      <w:pPr>
        <w:spacing w:line="56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仿宋" w:eastAsia="仿宋_GB2312" w:cs="仿宋"/>
          <w:bCs/>
          <w:sz w:val="32"/>
          <w:szCs w:val="32"/>
        </w:rPr>
        <w:t>年末资金有结转，主要原因在于2017空气质量净化项目由于项目尚未实施完毕，资金未及时支付，造成资金结余1.04万元。</w:t>
      </w:r>
    </w:p>
    <w:p>
      <w:pPr>
        <w:widowControl/>
        <w:adjustRightInd w:val="0"/>
        <w:snapToGrid w:val="0"/>
        <w:spacing w:line="560" w:lineRule="exact"/>
        <w:ind w:firstLine="640" w:firstLineChars="200"/>
        <w:contextualSpacing/>
        <w:rPr>
          <w:rFonts w:ascii="楷体_GB2312" w:hAnsi="宋体" w:eastAsia="楷体_GB2312" w:cs="宋体"/>
          <w:color w:val="000000"/>
          <w:kern w:val="0"/>
          <w:sz w:val="32"/>
          <w:szCs w:val="32"/>
          <w:shd w:val="clear" w:color="auto" w:fill="FFFFFF"/>
          <w:lang w:val="zh-CN"/>
        </w:rPr>
      </w:pPr>
      <w:r>
        <w:rPr>
          <w:rFonts w:hint="eastAsia" w:ascii="楷体_GB2312" w:hAnsi="宋体" w:eastAsia="楷体_GB2312" w:cs="宋体"/>
          <w:color w:val="000000"/>
          <w:kern w:val="0"/>
          <w:sz w:val="32"/>
          <w:szCs w:val="32"/>
          <w:shd w:val="clear" w:color="auto" w:fill="FFFFFF"/>
          <w:lang w:val="zh-CN"/>
        </w:rPr>
        <w:t>（三）改进建议</w:t>
      </w:r>
    </w:p>
    <w:p>
      <w:pPr>
        <w:spacing w:line="560" w:lineRule="exact"/>
        <w:ind w:firstLine="640" w:firstLineChars="200"/>
        <w:rPr>
          <w:rFonts w:ascii="仿宋" w:hAnsi="仿宋" w:eastAsia="仿宋" w:cs="仿宋"/>
          <w:bCs/>
          <w:sz w:val="32"/>
          <w:szCs w:val="32"/>
        </w:rPr>
      </w:pPr>
      <w:r>
        <w:rPr>
          <w:rFonts w:hint="eastAsia" w:ascii="仿宋_GB2312" w:hAnsi="仿宋" w:eastAsia="仿宋_GB2312" w:cs="仿宋"/>
          <w:bCs/>
          <w:sz w:val="32"/>
          <w:szCs w:val="32"/>
        </w:rPr>
        <w:t>我单位提前对项目进行合理规划安排，确保项目资金按时支付，尽量做到预算收支平衡。</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2"/>
          <w:rFonts w:ascii="黑体" w:hAnsi="黑体" w:eastAsia="黑体"/>
          <w:b w:val="0"/>
        </w:rPr>
      </w:pPr>
    </w:p>
    <w:p>
      <w:pPr>
        <w:spacing w:line="700" w:lineRule="exact"/>
        <w:jc w:val="center"/>
        <w:outlineLvl w:val="0"/>
        <w:rPr>
          <w:rStyle w:val="22"/>
          <w:rFonts w:ascii="方正小标宋简体" w:hAnsi="黑体" w:eastAsia="方正小标宋简体"/>
          <w:b w:val="0"/>
        </w:rPr>
      </w:pPr>
      <w:bookmarkStart w:id="94" w:name="_Toc15396618"/>
      <w:bookmarkStart w:id="95" w:name="_Toc82012434"/>
      <w:r>
        <w:rPr>
          <w:rFonts w:hint="eastAsia" w:ascii="方正小标宋简体" w:hAnsi="黑体" w:eastAsia="方正小标宋简体"/>
          <w:color w:val="000000"/>
          <w:sz w:val="44"/>
          <w:szCs w:val="44"/>
        </w:rPr>
        <w:t>第</w:t>
      </w:r>
      <w:r>
        <w:rPr>
          <w:rStyle w:val="22"/>
          <w:rFonts w:hint="eastAsia" w:ascii="方正小标宋简体" w:hAnsi="黑体" w:eastAsia="方正小标宋简体"/>
          <w:b w:val="0"/>
        </w:rPr>
        <w:t>五部分 附表</w:t>
      </w:r>
      <w:bookmarkEnd w:id="90"/>
      <w:bookmarkEnd w:id="94"/>
      <w:bookmarkEnd w:id="95"/>
    </w:p>
    <w:p>
      <w:pPr>
        <w:spacing w:line="560" w:lineRule="exact"/>
        <w:ind w:firstLine="883" w:firstLineChars="200"/>
        <w:outlineLvl w:val="1"/>
        <w:rPr>
          <w:rFonts w:ascii="仿宋_GB2312" w:hAnsi="仿宋" w:eastAsia="仿宋_GB2312"/>
          <w:b/>
          <w:color w:val="000000"/>
          <w:sz w:val="44"/>
          <w:szCs w:val="44"/>
        </w:rPr>
      </w:pPr>
    </w:p>
    <w:p>
      <w:pPr>
        <w:pStyle w:val="3"/>
        <w:spacing w:before="0" w:after="0" w:line="560" w:lineRule="exact"/>
        <w:ind w:firstLine="640" w:firstLineChars="200"/>
        <w:rPr>
          <w:rFonts w:ascii="仿宋_GB2312" w:hAnsi="仿宋" w:eastAsia="仿宋_GB2312"/>
          <w:color w:val="000000"/>
        </w:rPr>
      </w:pPr>
      <w:bookmarkStart w:id="96" w:name="_Toc15396619"/>
      <w:bookmarkStart w:id="97" w:name="_Toc82012435"/>
      <w:r>
        <w:rPr>
          <w:rFonts w:hint="eastAsia" w:ascii="仿宋_GB2312" w:hAnsi="仿宋" w:eastAsia="仿宋_GB2312"/>
          <w:b w:val="0"/>
          <w:color w:val="000000"/>
        </w:rPr>
        <w:t>一、收</w:t>
      </w:r>
      <w:r>
        <w:rPr>
          <w:rStyle w:val="23"/>
          <w:rFonts w:hint="eastAsia" w:ascii="仿宋_GB2312" w:hAnsi="仿宋" w:eastAsia="仿宋_GB2312"/>
          <w:b w:val="0"/>
          <w:bCs w:val="0"/>
        </w:rPr>
        <w:t>入支出决算总表</w:t>
      </w:r>
      <w:bookmarkEnd w:id="96"/>
      <w:bookmarkEnd w:id="97"/>
    </w:p>
    <w:p>
      <w:pPr>
        <w:pStyle w:val="3"/>
        <w:spacing w:before="0" w:after="0" w:line="560" w:lineRule="exact"/>
        <w:ind w:firstLine="640" w:firstLineChars="200"/>
        <w:rPr>
          <w:rFonts w:ascii="仿宋_GB2312" w:hAnsi="仿宋" w:eastAsia="仿宋_GB2312"/>
          <w:color w:val="000000"/>
        </w:rPr>
      </w:pPr>
      <w:bookmarkStart w:id="98" w:name="_Toc15396620"/>
      <w:bookmarkStart w:id="99" w:name="_Toc82012436"/>
      <w:r>
        <w:rPr>
          <w:rFonts w:hint="eastAsia" w:ascii="仿宋_GB2312" w:hAnsi="仿宋" w:eastAsia="仿宋_GB2312"/>
          <w:b w:val="0"/>
          <w:color w:val="000000"/>
        </w:rPr>
        <w:t>二、收</w:t>
      </w:r>
      <w:r>
        <w:rPr>
          <w:rStyle w:val="23"/>
          <w:rFonts w:hint="eastAsia" w:ascii="仿宋_GB2312" w:hAnsi="仿宋" w:eastAsia="仿宋_GB2312"/>
          <w:b w:val="0"/>
          <w:bCs w:val="0"/>
        </w:rPr>
        <w:t>入决算表</w:t>
      </w:r>
      <w:bookmarkEnd w:id="98"/>
      <w:bookmarkEnd w:id="99"/>
    </w:p>
    <w:p>
      <w:pPr>
        <w:pStyle w:val="3"/>
        <w:spacing w:before="0" w:after="0" w:line="560" w:lineRule="exact"/>
        <w:ind w:firstLine="640" w:firstLineChars="200"/>
        <w:rPr>
          <w:rFonts w:ascii="仿宋_GB2312" w:hAnsi="仿宋" w:eastAsia="仿宋_GB2312"/>
          <w:color w:val="000000"/>
        </w:rPr>
      </w:pPr>
      <w:bookmarkStart w:id="100" w:name="_Toc15396621"/>
      <w:bookmarkStart w:id="101" w:name="_Toc82012437"/>
      <w:r>
        <w:rPr>
          <w:rStyle w:val="23"/>
          <w:rFonts w:hint="eastAsia" w:ascii="仿宋_GB2312" w:hAnsi="仿宋" w:eastAsia="仿宋_GB2312"/>
          <w:b w:val="0"/>
          <w:bCs w:val="0"/>
        </w:rPr>
        <w:t>三、</w:t>
      </w:r>
      <w:r>
        <w:rPr>
          <w:rFonts w:hint="eastAsia" w:ascii="仿宋_GB2312" w:hAnsi="仿宋" w:eastAsia="仿宋_GB2312"/>
          <w:b w:val="0"/>
          <w:color w:val="000000"/>
        </w:rPr>
        <w:t>支</w:t>
      </w:r>
      <w:r>
        <w:rPr>
          <w:rStyle w:val="23"/>
          <w:rFonts w:hint="eastAsia" w:ascii="仿宋_GB2312" w:hAnsi="仿宋" w:eastAsia="仿宋_GB2312"/>
          <w:b w:val="0"/>
          <w:bCs w:val="0"/>
        </w:rPr>
        <w:t>出决算表</w:t>
      </w:r>
      <w:bookmarkEnd w:id="100"/>
      <w:bookmarkEnd w:id="101"/>
    </w:p>
    <w:p>
      <w:pPr>
        <w:pStyle w:val="3"/>
        <w:spacing w:before="0" w:after="0" w:line="560" w:lineRule="exact"/>
        <w:ind w:firstLine="640" w:firstLineChars="200"/>
        <w:rPr>
          <w:rFonts w:ascii="仿宋_GB2312" w:hAnsi="仿宋" w:eastAsia="仿宋_GB2312"/>
          <w:b w:val="0"/>
          <w:color w:val="000000"/>
        </w:rPr>
      </w:pPr>
      <w:bookmarkStart w:id="102" w:name="_Toc15396622"/>
      <w:bookmarkStart w:id="103" w:name="_Toc82012438"/>
      <w:r>
        <w:rPr>
          <w:rStyle w:val="23"/>
          <w:rFonts w:hint="eastAsia" w:ascii="仿宋_GB2312" w:hAnsi="仿宋" w:eastAsia="仿宋_GB2312"/>
          <w:b w:val="0"/>
          <w:bCs w:val="0"/>
        </w:rPr>
        <w:t>四、</w:t>
      </w:r>
      <w:r>
        <w:rPr>
          <w:rFonts w:hint="eastAsia" w:ascii="仿宋_GB2312" w:hAnsi="仿宋" w:eastAsia="仿宋_GB2312"/>
          <w:b w:val="0"/>
          <w:color w:val="000000"/>
        </w:rPr>
        <w:t>财</w:t>
      </w:r>
      <w:r>
        <w:rPr>
          <w:rStyle w:val="23"/>
          <w:rFonts w:hint="eastAsia" w:ascii="仿宋_GB2312" w:hAnsi="仿宋" w:eastAsia="仿宋_GB2312"/>
          <w:b w:val="0"/>
          <w:bCs w:val="0"/>
        </w:rPr>
        <w:t>政拨款收入支出决算总表</w:t>
      </w:r>
      <w:bookmarkEnd w:id="102"/>
      <w:bookmarkEnd w:id="103"/>
    </w:p>
    <w:p>
      <w:pPr>
        <w:pStyle w:val="3"/>
        <w:spacing w:before="0" w:after="0" w:line="560" w:lineRule="exact"/>
        <w:ind w:firstLine="640" w:firstLineChars="200"/>
        <w:rPr>
          <w:rStyle w:val="23"/>
          <w:rFonts w:ascii="仿宋_GB2312" w:hAnsi="仿宋" w:eastAsia="仿宋_GB2312"/>
          <w:b w:val="0"/>
          <w:bCs w:val="0"/>
        </w:rPr>
      </w:pPr>
      <w:bookmarkStart w:id="104" w:name="_Toc15396623"/>
      <w:bookmarkStart w:id="105" w:name="_Toc82012439"/>
      <w:r>
        <w:rPr>
          <w:rStyle w:val="23"/>
          <w:rFonts w:hint="eastAsia" w:ascii="仿宋_GB2312" w:hAnsi="仿宋" w:eastAsia="仿宋_GB2312"/>
          <w:b w:val="0"/>
          <w:bCs w:val="0"/>
        </w:rPr>
        <w:t>五、</w:t>
      </w:r>
      <w:r>
        <w:rPr>
          <w:rFonts w:hint="eastAsia" w:ascii="仿宋_GB2312" w:hAnsi="仿宋" w:eastAsia="仿宋_GB2312"/>
          <w:b w:val="0"/>
          <w:color w:val="000000"/>
        </w:rPr>
        <w:t>财</w:t>
      </w:r>
      <w:r>
        <w:rPr>
          <w:rStyle w:val="23"/>
          <w:rFonts w:hint="eastAsia" w:ascii="仿宋_GB2312" w:hAnsi="仿宋" w:eastAsia="仿宋_GB2312"/>
          <w:b w:val="0"/>
          <w:bCs w:val="0"/>
        </w:rPr>
        <w:t>政拨款支出决算明细表</w:t>
      </w:r>
      <w:bookmarkEnd w:id="104"/>
      <w:bookmarkEnd w:id="105"/>
      <w:bookmarkStart w:id="106" w:name="_Toc15396624"/>
    </w:p>
    <w:p>
      <w:pPr>
        <w:pStyle w:val="3"/>
        <w:spacing w:before="0" w:after="0" w:line="560" w:lineRule="exact"/>
        <w:ind w:firstLine="640" w:firstLineChars="200"/>
        <w:rPr>
          <w:rFonts w:ascii="仿宋_GB2312" w:hAnsi="仿宋" w:eastAsia="仿宋_GB2312"/>
          <w:color w:val="000000"/>
        </w:rPr>
      </w:pPr>
      <w:bookmarkStart w:id="107" w:name="_Toc82012440"/>
      <w:r>
        <w:rPr>
          <w:rStyle w:val="23"/>
          <w:rFonts w:hint="eastAsia" w:ascii="仿宋_GB2312" w:hAnsi="仿宋" w:eastAsia="仿宋_GB2312"/>
          <w:b w:val="0"/>
          <w:bCs w:val="0"/>
        </w:rPr>
        <w:t>六、</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般公共预算财政拨款支出决算表</w:t>
      </w:r>
      <w:bookmarkEnd w:id="106"/>
      <w:bookmarkEnd w:id="107"/>
    </w:p>
    <w:p>
      <w:pPr>
        <w:pStyle w:val="3"/>
        <w:spacing w:before="0" w:after="0" w:line="560" w:lineRule="exact"/>
        <w:ind w:firstLine="640" w:firstLineChars="200"/>
        <w:rPr>
          <w:rFonts w:ascii="仿宋_GB2312" w:hAnsi="仿宋" w:eastAsia="仿宋_GB2312"/>
          <w:color w:val="000000"/>
        </w:rPr>
      </w:pPr>
      <w:bookmarkStart w:id="108" w:name="_Toc15396625"/>
      <w:bookmarkStart w:id="109" w:name="_Toc82012441"/>
      <w:r>
        <w:rPr>
          <w:rStyle w:val="23"/>
          <w:rFonts w:hint="eastAsia" w:ascii="仿宋_GB2312" w:hAnsi="仿宋" w:eastAsia="仿宋_GB2312"/>
          <w:b w:val="0"/>
          <w:bCs w:val="0"/>
        </w:rPr>
        <w:t>七、</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般公共预算财政拨款支出决算明细表</w:t>
      </w:r>
      <w:bookmarkEnd w:id="108"/>
      <w:bookmarkEnd w:id="109"/>
    </w:p>
    <w:p>
      <w:pPr>
        <w:pStyle w:val="3"/>
        <w:spacing w:before="0" w:after="0" w:line="560" w:lineRule="exact"/>
        <w:ind w:firstLine="640" w:firstLineChars="200"/>
        <w:rPr>
          <w:rFonts w:ascii="仿宋_GB2312" w:hAnsi="仿宋" w:eastAsia="仿宋_GB2312"/>
          <w:color w:val="000000"/>
        </w:rPr>
      </w:pPr>
      <w:bookmarkStart w:id="110" w:name="_Toc15396626"/>
      <w:bookmarkStart w:id="111" w:name="_Toc82012442"/>
      <w:r>
        <w:rPr>
          <w:rStyle w:val="23"/>
          <w:rFonts w:hint="eastAsia" w:ascii="仿宋_GB2312" w:hAnsi="仿宋" w:eastAsia="仿宋_GB2312"/>
          <w:b w:val="0"/>
          <w:bCs w:val="0"/>
        </w:rPr>
        <w:t>八、</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般公共预算财政拨款基本支出决算表</w:t>
      </w:r>
      <w:bookmarkEnd w:id="110"/>
      <w:bookmarkEnd w:id="111"/>
    </w:p>
    <w:p>
      <w:pPr>
        <w:pStyle w:val="3"/>
        <w:spacing w:before="0" w:after="0" w:line="560" w:lineRule="exact"/>
        <w:ind w:firstLine="640" w:firstLineChars="200"/>
        <w:rPr>
          <w:rFonts w:ascii="仿宋_GB2312" w:hAnsi="仿宋" w:eastAsia="仿宋_GB2312"/>
          <w:color w:val="000000"/>
        </w:rPr>
      </w:pPr>
      <w:bookmarkStart w:id="112" w:name="_Toc15396627"/>
      <w:bookmarkStart w:id="113" w:name="_Toc82012443"/>
      <w:r>
        <w:rPr>
          <w:rStyle w:val="23"/>
          <w:rFonts w:hint="eastAsia" w:ascii="仿宋_GB2312" w:hAnsi="仿宋" w:eastAsia="仿宋_GB2312"/>
          <w:b w:val="0"/>
          <w:bCs w:val="0"/>
        </w:rPr>
        <w:t>九、</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般公共预算财政拨款项目支出决算表</w:t>
      </w:r>
      <w:bookmarkEnd w:id="112"/>
      <w:bookmarkEnd w:id="113"/>
    </w:p>
    <w:p>
      <w:pPr>
        <w:pStyle w:val="3"/>
        <w:spacing w:before="0" w:after="0" w:line="560" w:lineRule="exact"/>
        <w:ind w:firstLine="640" w:firstLineChars="200"/>
        <w:rPr>
          <w:rFonts w:ascii="仿宋_GB2312" w:hAnsi="仿宋" w:eastAsia="仿宋_GB2312"/>
          <w:color w:val="000000"/>
        </w:rPr>
      </w:pPr>
      <w:bookmarkStart w:id="114" w:name="_Toc15396628"/>
      <w:bookmarkStart w:id="115" w:name="_Toc82012444"/>
      <w:r>
        <w:rPr>
          <w:rStyle w:val="23"/>
          <w:rFonts w:hint="eastAsia" w:ascii="仿宋_GB2312" w:hAnsi="仿宋" w:eastAsia="仿宋_GB2312"/>
          <w:b w:val="0"/>
          <w:bCs w:val="0"/>
        </w:rPr>
        <w:t>十、</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般公共预算财政拨款“三公”经费支出决算表</w:t>
      </w:r>
      <w:bookmarkEnd w:id="114"/>
      <w:bookmarkEnd w:id="115"/>
    </w:p>
    <w:p>
      <w:pPr>
        <w:pStyle w:val="3"/>
        <w:spacing w:before="0" w:after="0" w:line="560" w:lineRule="exact"/>
        <w:ind w:firstLine="640" w:firstLineChars="200"/>
        <w:rPr>
          <w:rFonts w:ascii="仿宋_GB2312" w:hAnsi="仿宋" w:eastAsia="仿宋_GB2312"/>
          <w:color w:val="000000"/>
        </w:rPr>
      </w:pPr>
      <w:bookmarkStart w:id="116" w:name="_Toc15396629"/>
      <w:bookmarkStart w:id="117" w:name="_Toc82012445"/>
      <w:r>
        <w:rPr>
          <w:rStyle w:val="23"/>
          <w:rFonts w:hint="eastAsia" w:ascii="仿宋_GB2312" w:hAnsi="仿宋" w:eastAsia="仿宋_GB2312"/>
          <w:b w:val="0"/>
          <w:bCs w:val="0"/>
        </w:rPr>
        <w:t>十一、</w:t>
      </w:r>
      <w:r>
        <w:rPr>
          <w:rFonts w:hint="eastAsia" w:ascii="仿宋_GB2312" w:hAnsi="仿宋" w:eastAsia="仿宋_GB2312"/>
          <w:b w:val="0"/>
          <w:color w:val="000000"/>
        </w:rPr>
        <w:t>政</w:t>
      </w:r>
      <w:r>
        <w:rPr>
          <w:rStyle w:val="23"/>
          <w:rFonts w:hint="eastAsia" w:ascii="仿宋_GB2312" w:hAnsi="仿宋" w:eastAsia="仿宋_GB2312"/>
          <w:b w:val="0"/>
          <w:bCs w:val="0"/>
        </w:rPr>
        <w:t>府性基金预算财政拨款收入支出决算表</w:t>
      </w:r>
      <w:bookmarkEnd w:id="116"/>
      <w:bookmarkEnd w:id="117"/>
    </w:p>
    <w:p>
      <w:pPr>
        <w:pStyle w:val="3"/>
        <w:spacing w:before="0" w:after="0" w:line="560" w:lineRule="exact"/>
        <w:ind w:firstLine="640" w:firstLineChars="200"/>
        <w:rPr>
          <w:rFonts w:ascii="仿宋_GB2312" w:hAnsi="仿宋" w:eastAsia="仿宋_GB2312"/>
          <w:color w:val="000000"/>
        </w:rPr>
      </w:pPr>
      <w:bookmarkStart w:id="118" w:name="_Toc15396630"/>
      <w:bookmarkStart w:id="119" w:name="_Toc82012446"/>
      <w:r>
        <w:rPr>
          <w:rStyle w:val="23"/>
          <w:rFonts w:hint="eastAsia" w:ascii="仿宋_GB2312" w:hAnsi="仿宋" w:eastAsia="仿宋_GB2312"/>
          <w:b w:val="0"/>
          <w:bCs w:val="0"/>
        </w:rPr>
        <w:t>十二、</w:t>
      </w:r>
      <w:r>
        <w:rPr>
          <w:rFonts w:hint="eastAsia" w:ascii="仿宋_GB2312" w:hAnsi="仿宋" w:eastAsia="仿宋_GB2312"/>
          <w:b w:val="0"/>
          <w:color w:val="000000"/>
        </w:rPr>
        <w:t>政</w:t>
      </w:r>
      <w:r>
        <w:rPr>
          <w:rStyle w:val="23"/>
          <w:rFonts w:hint="eastAsia" w:ascii="仿宋_GB2312" w:hAnsi="仿宋" w:eastAsia="仿宋_GB2312"/>
          <w:b w:val="0"/>
          <w:bCs w:val="0"/>
        </w:rPr>
        <w:t>府性基金预算财政拨款“三公”经费支出决算表</w:t>
      </w:r>
      <w:bookmarkEnd w:id="118"/>
      <w:bookmarkEnd w:id="119"/>
    </w:p>
    <w:p>
      <w:pPr>
        <w:pStyle w:val="3"/>
        <w:spacing w:before="0" w:after="0" w:line="560" w:lineRule="exact"/>
        <w:ind w:firstLine="640" w:firstLineChars="200"/>
        <w:rPr>
          <w:rFonts w:ascii="仿宋_GB2312" w:hAnsi="仿宋" w:eastAsia="仿宋_GB2312"/>
          <w:color w:val="000000"/>
        </w:rPr>
      </w:pPr>
      <w:bookmarkStart w:id="120" w:name="_Toc15396631"/>
      <w:bookmarkStart w:id="121" w:name="_Toc82012447"/>
      <w:r>
        <w:rPr>
          <w:rStyle w:val="23"/>
          <w:rFonts w:hint="eastAsia" w:ascii="仿宋_GB2312" w:hAnsi="仿宋" w:eastAsia="仿宋_GB2312"/>
          <w:b w:val="0"/>
          <w:bCs w:val="0"/>
        </w:rPr>
        <w:t>十三、</w:t>
      </w:r>
      <w:r>
        <w:rPr>
          <w:rFonts w:hint="eastAsia" w:ascii="仿宋_GB2312" w:hAnsi="仿宋" w:eastAsia="仿宋_GB2312"/>
          <w:b w:val="0"/>
          <w:color w:val="000000"/>
        </w:rPr>
        <w:t>国</w:t>
      </w:r>
      <w:r>
        <w:rPr>
          <w:rStyle w:val="23"/>
          <w:rFonts w:hint="eastAsia" w:ascii="仿宋_GB2312" w:hAnsi="仿宋" w:eastAsia="仿宋_GB2312"/>
          <w:b w:val="0"/>
          <w:bCs w:val="0"/>
        </w:rPr>
        <w:t>有资本经营预算财政拨款支出决算表</w:t>
      </w:r>
      <w:bookmarkEnd w:id="120"/>
      <w:bookmarkEnd w:id="12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t>23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505C1"/>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3638"/>
    <w:rsid w:val="00114E9B"/>
    <w:rsid w:val="00115301"/>
    <w:rsid w:val="001319E1"/>
    <w:rsid w:val="00142216"/>
    <w:rsid w:val="00144D6A"/>
    <w:rsid w:val="0014729F"/>
    <w:rsid w:val="0015256B"/>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72E8"/>
    <w:rsid w:val="00235629"/>
    <w:rsid w:val="00256262"/>
    <w:rsid w:val="0026083E"/>
    <w:rsid w:val="00260C38"/>
    <w:rsid w:val="002616C0"/>
    <w:rsid w:val="00265372"/>
    <w:rsid w:val="002662AA"/>
    <w:rsid w:val="00277682"/>
    <w:rsid w:val="00280496"/>
    <w:rsid w:val="00286D5E"/>
    <w:rsid w:val="00294DC9"/>
    <w:rsid w:val="00295495"/>
    <w:rsid w:val="002A31DE"/>
    <w:rsid w:val="002B2613"/>
    <w:rsid w:val="002D693F"/>
    <w:rsid w:val="002D6D05"/>
    <w:rsid w:val="002F1818"/>
    <w:rsid w:val="002F567B"/>
    <w:rsid w:val="003046C7"/>
    <w:rsid w:val="0031246B"/>
    <w:rsid w:val="003216A9"/>
    <w:rsid w:val="00326559"/>
    <w:rsid w:val="00335A74"/>
    <w:rsid w:val="00347FEC"/>
    <w:rsid w:val="00350141"/>
    <w:rsid w:val="0036561B"/>
    <w:rsid w:val="0036683F"/>
    <w:rsid w:val="0037013F"/>
    <w:rsid w:val="00380C92"/>
    <w:rsid w:val="003A484F"/>
    <w:rsid w:val="003A4883"/>
    <w:rsid w:val="003B0BE0"/>
    <w:rsid w:val="003B0C1B"/>
    <w:rsid w:val="003B688C"/>
    <w:rsid w:val="003B7801"/>
    <w:rsid w:val="003C0291"/>
    <w:rsid w:val="003C39AE"/>
    <w:rsid w:val="003C7B60"/>
    <w:rsid w:val="003D0C0F"/>
    <w:rsid w:val="003D1FB2"/>
    <w:rsid w:val="003D66DA"/>
    <w:rsid w:val="003E1310"/>
    <w:rsid w:val="003E6F55"/>
    <w:rsid w:val="003F73EF"/>
    <w:rsid w:val="00406254"/>
    <w:rsid w:val="004223DE"/>
    <w:rsid w:val="00434489"/>
    <w:rsid w:val="00437085"/>
    <w:rsid w:val="00443880"/>
    <w:rsid w:val="004464F4"/>
    <w:rsid w:val="00471401"/>
    <w:rsid w:val="00473F31"/>
    <w:rsid w:val="0048263A"/>
    <w:rsid w:val="00487E5D"/>
    <w:rsid w:val="004A711F"/>
    <w:rsid w:val="004B199D"/>
    <w:rsid w:val="004B4690"/>
    <w:rsid w:val="004C1B6C"/>
    <w:rsid w:val="004E0A2D"/>
    <w:rsid w:val="004E206B"/>
    <w:rsid w:val="004E6DF7"/>
    <w:rsid w:val="004F0CA3"/>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D7CB4"/>
    <w:rsid w:val="005F1A4C"/>
    <w:rsid w:val="00605688"/>
    <w:rsid w:val="006070AF"/>
    <w:rsid w:val="00607E6C"/>
    <w:rsid w:val="006101B1"/>
    <w:rsid w:val="00614E44"/>
    <w:rsid w:val="0062270A"/>
    <w:rsid w:val="00622830"/>
    <w:rsid w:val="00623DA0"/>
    <w:rsid w:val="00630AEF"/>
    <w:rsid w:val="006325F8"/>
    <w:rsid w:val="00633463"/>
    <w:rsid w:val="00634C9A"/>
    <w:rsid w:val="00635A05"/>
    <w:rsid w:val="006440E4"/>
    <w:rsid w:val="0066343B"/>
    <w:rsid w:val="00664777"/>
    <w:rsid w:val="00665CA6"/>
    <w:rsid w:val="006748A4"/>
    <w:rsid w:val="00681A31"/>
    <w:rsid w:val="00683E73"/>
    <w:rsid w:val="006961F3"/>
    <w:rsid w:val="006A3141"/>
    <w:rsid w:val="006A5E34"/>
    <w:rsid w:val="006B2422"/>
    <w:rsid w:val="006B2B9A"/>
    <w:rsid w:val="006C1937"/>
    <w:rsid w:val="006F020C"/>
    <w:rsid w:val="007127B7"/>
    <w:rsid w:val="0071798E"/>
    <w:rsid w:val="007416B6"/>
    <w:rsid w:val="00746F48"/>
    <w:rsid w:val="0075404D"/>
    <w:rsid w:val="0076182A"/>
    <w:rsid w:val="00767B7E"/>
    <w:rsid w:val="00775563"/>
    <w:rsid w:val="007770C3"/>
    <w:rsid w:val="00783BC2"/>
    <w:rsid w:val="00784D24"/>
    <w:rsid w:val="00785FBA"/>
    <w:rsid w:val="00786E4A"/>
    <w:rsid w:val="007875EB"/>
    <w:rsid w:val="0079426B"/>
    <w:rsid w:val="007C466F"/>
    <w:rsid w:val="007D1682"/>
    <w:rsid w:val="007D312A"/>
    <w:rsid w:val="007D3F19"/>
    <w:rsid w:val="007D4896"/>
    <w:rsid w:val="007E23B0"/>
    <w:rsid w:val="007E23E5"/>
    <w:rsid w:val="007F1991"/>
    <w:rsid w:val="007F2C2F"/>
    <w:rsid w:val="007F55FC"/>
    <w:rsid w:val="007F5665"/>
    <w:rsid w:val="00800112"/>
    <w:rsid w:val="00813348"/>
    <w:rsid w:val="008253BB"/>
    <w:rsid w:val="008360AB"/>
    <w:rsid w:val="0083706E"/>
    <w:rsid w:val="008408F6"/>
    <w:rsid w:val="008423A5"/>
    <w:rsid w:val="00850625"/>
    <w:rsid w:val="00853718"/>
    <w:rsid w:val="00855221"/>
    <w:rsid w:val="00856C63"/>
    <w:rsid w:val="00860645"/>
    <w:rsid w:val="00871F71"/>
    <w:rsid w:val="00872FD8"/>
    <w:rsid w:val="00885AF4"/>
    <w:rsid w:val="008939CD"/>
    <w:rsid w:val="008B768C"/>
    <w:rsid w:val="008C4DB1"/>
    <w:rsid w:val="008C4EAF"/>
    <w:rsid w:val="008C5176"/>
    <w:rsid w:val="008C7FD0"/>
    <w:rsid w:val="008E1DE7"/>
    <w:rsid w:val="008E6F2A"/>
    <w:rsid w:val="008E707C"/>
    <w:rsid w:val="00900B08"/>
    <w:rsid w:val="00902155"/>
    <w:rsid w:val="00902FA3"/>
    <w:rsid w:val="00923564"/>
    <w:rsid w:val="0092392E"/>
    <w:rsid w:val="009315F9"/>
    <w:rsid w:val="00932BC5"/>
    <w:rsid w:val="00933499"/>
    <w:rsid w:val="009334D8"/>
    <w:rsid w:val="00935C98"/>
    <w:rsid w:val="00946945"/>
    <w:rsid w:val="00951248"/>
    <w:rsid w:val="0095152F"/>
    <w:rsid w:val="00954C49"/>
    <w:rsid w:val="00955E37"/>
    <w:rsid w:val="0097099F"/>
    <w:rsid w:val="00971997"/>
    <w:rsid w:val="00971FFC"/>
    <w:rsid w:val="0098660A"/>
    <w:rsid w:val="0099098A"/>
    <w:rsid w:val="009931C3"/>
    <w:rsid w:val="009A4EB8"/>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1D9F"/>
    <w:rsid w:val="00B425E0"/>
    <w:rsid w:val="00B440AA"/>
    <w:rsid w:val="00B44B70"/>
    <w:rsid w:val="00B53597"/>
    <w:rsid w:val="00B53C56"/>
    <w:rsid w:val="00B57DAF"/>
    <w:rsid w:val="00B65B12"/>
    <w:rsid w:val="00B77EA6"/>
    <w:rsid w:val="00B81598"/>
    <w:rsid w:val="00B841F1"/>
    <w:rsid w:val="00B90E4E"/>
    <w:rsid w:val="00B944D6"/>
    <w:rsid w:val="00B965DC"/>
    <w:rsid w:val="00BB4DF0"/>
    <w:rsid w:val="00BC289F"/>
    <w:rsid w:val="00BC2D50"/>
    <w:rsid w:val="00BC5361"/>
    <w:rsid w:val="00BC5460"/>
    <w:rsid w:val="00BC6B50"/>
    <w:rsid w:val="00BD0E25"/>
    <w:rsid w:val="00BD64CB"/>
    <w:rsid w:val="00BF5BD6"/>
    <w:rsid w:val="00C03E31"/>
    <w:rsid w:val="00C33E72"/>
    <w:rsid w:val="00C354B2"/>
    <w:rsid w:val="00C35554"/>
    <w:rsid w:val="00C42709"/>
    <w:rsid w:val="00C533CC"/>
    <w:rsid w:val="00C5751C"/>
    <w:rsid w:val="00C61BFC"/>
    <w:rsid w:val="00C62B85"/>
    <w:rsid w:val="00C65438"/>
    <w:rsid w:val="00C87FD8"/>
    <w:rsid w:val="00C910A2"/>
    <w:rsid w:val="00C91381"/>
    <w:rsid w:val="00C91CBB"/>
    <w:rsid w:val="00CB4E70"/>
    <w:rsid w:val="00CC09B6"/>
    <w:rsid w:val="00CC666F"/>
    <w:rsid w:val="00CD1E3F"/>
    <w:rsid w:val="00CE44F6"/>
    <w:rsid w:val="00CE49DA"/>
    <w:rsid w:val="00CE7B61"/>
    <w:rsid w:val="00D00095"/>
    <w:rsid w:val="00D114F0"/>
    <w:rsid w:val="00D11B2F"/>
    <w:rsid w:val="00D130D3"/>
    <w:rsid w:val="00D20620"/>
    <w:rsid w:val="00D254F7"/>
    <w:rsid w:val="00D26091"/>
    <w:rsid w:val="00D2685C"/>
    <w:rsid w:val="00D34E7C"/>
    <w:rsid w:val="00D35489"/>
    <w:rsid w:val="00D36AFE"/>
    <w:rsid w:val="00D51276"/>
    <w:rsid w:val="00D568EE"/>
    <w:rsid w:val="00D7035F"/>
    <w:rsid w:val="00DA634F"/>
    <w:rsid w:val="00DA65AC"/>
    <w:rsid w:val="00DB1913"/>
    <w:rsid w:val="00DC410D"/>
    <w:rsid w:val="00DC5A81"/>
    <w:rsid w:val="00DC68CA"/>
    <w:rsid w:val="00DC7CBA"/>
    <w:rsid w:val="00DD73B7"/>
    <w:rsid w:val="00DF28BC"/>
    <w:rsid w:val="00DF34B9"/>
    <w:rsid w:val="00E01053"/>
    <w:rsid w:val="00E07ACF"/>
    <w:rsid w:val="00E17EDF"/>
    <w:rsid w:val="00E32CAD"/>
    <w:rsid w:val="00E331A1"/>
    <w:rsid w:val="00E33202"/>
    <w:rsid w:val="00E336A9"/>
    <w:rsid w:val="00E472B1"/>
    <w:rsid w:val="00E50624"/>
    <w:rsid w:val="00E568DF"/>
    <w:rsid w:val="00E64269"/>
    <w:rsid w:val="00E82267"/>
    <w:rsid w:val="00E853CE"/>
    <w:rsid w:val="00E867B6"/>
    <w:rsid w:val="00E92268"/>
    <w:rsid w:val="00EA010F"/>
    <w:rsid w:val="00ED1B63"/>
    <w:rsid w:val="00ED3C1F"/>
    <w:rsid w:val="00ED4085"/>
    <w:rsid w:val="00ED420E"/>
    <w:rsid w:val="00ED6FBE"/>
    <w:rsid w:val="00EE2F57"/>
    <w:rsid w:val="00EE5327"/>
    <w:rsid w:val="00EF4C34"/>
    <w:rsid w:val="00EF4DDA"/>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59B8"/>
    <w:rsid w:val="00F87E96"/>
    <w:rsid w:val="00FA23E8"/>
    <w:rsid w:val="00FD3CC1"/>
    <w:rsid w:val="00FF1E02"/>
    <w:rsid w:val="00FF30B4"/>
    <w:rsid w:val="02082459"/>
    <w:rsid w:val="04717276"/>
    <w:rsid w:val="052933B7"/>
    <w:rsid w:val="08A20C22"/>
    <w:rsid w:val="0A2032A3"/>
    <w:rsid w:val="10C055FF"/>
    <w:rsid w:val="118107EC"/>
    <w:rsid w:val="16BB723D"/>
    <w:rsid w:val="1D155CEE"/>
    <w:rsid w:val="240371BF"/>
    <w:rsid w:val="29DE139F"/>
    <w:rsid w:val="29FD04D3"/>
    <w:rsid w:val="319F7F4E"/>
    <w:rsid w:val="34642D7F"/>
    <w:rsid w:val="453A270B"/>
    <w:rsid w:val="4DD06749"/>
    <w:rsid w:val="4ECE2238"/>
    <w:rsid w:val="556F4365"/>
    <w:rsid w:val="64BF165A"/>
    <w:rsid w:val="6B3A539E"/>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hAnsiTheme="minorHAnsi" w:cstheme="minorHAnsi"/>
      <w:sz w:val="18"/>
      <w:szCs w:val="18"/>
    </w:rPr>
  </w:style>
  <w:style w:type="paragraph" w:styleId="6">
    <w:name w:val="Body Text"/>
    <w:basedOn w:val="1"/>
    <w:link w:val="31"/>
    <w:qFormat/>
    <w:uiPriority w:val="99"/>
    <w:pPr>
      <w:spacing w:beforeLines="30"/>
    </w:pPr>
    <w:rPr>
      <w:rFonts w:ascii="仿宋_GB2312" w:eastAsia="仿宋_GB2312"/>
      <w:kern w:val="0"/>
      <w:sz w:val="24"/>
      <w:szCs w:val="20"/>
      <w:lang w:val="zh-CN"/>
    </w:rPr>
  </w:style>
  <w:style w:type="paragraph" w:styleId="7">
    <w:name w:val="toc 5"/>
    <w:basedOn w:val="1"/>
    <w:next w:val="1"/>
    <w:unhideWhenUsed/>
    <w:qFormat/>
    <w:uiPriority w:val="39"/>
    <w:pPr>
      <w:ind w:left="840"/>
      <w:jc w:val="left"/>
    </w:pPr>
    <w:rPr>
      <w:rFonts w:asciiTheme="minorHAnsi" w:hAnsiTheme="minorHAnsi" w:cstheme="minorHAnsi"/>
      <w:sz w:val="18"/>
      <w:szCs w:val="18"/>
    </w:rPr>
  </w:style>
  <w:style w:type="paragraph" w:styleId="8">
    <w:name w:val="toc 3"/>
    <w:basedOn w:val="1"/>
    <w:next w:val="1"/>
    <w:unhideWhenUsed/>
    <w:qFormat/>
    <w:uiPriority w:val="39"/>
    <w:pPr>
      <w:ind w:left="420"/>
      <w:jc w:val="left"/>
    </w:pPr>
    <w:rPr>
      <w:rFonts w:asciiTheme="minorHAnsi" w:hAnsiTheme="minorHAnsi" w:cstheme="minorHAnsi"/>
      <w:i/>
      <w:iCs/>
      <w:sz w:val="20"/>
      <w:szCs w:val="20"/>
    </w:rPr>
  </w:style>
  <w:style w:type="paragraph" w:styleId="9">
    <w:name w:val="toc 8"/>
    <w:basedOn w:val="1"/>
    <w:next w:val="1"/>
    <w:unhideWhenUsed/>
    <w:qFormat/>
    <w:uiPriority w:val="39"/>
    <w:pPr>
      <w:ind w:left="1470"/>
      <w:jc w:val="left"/>
    </w:pPr>
    <w:rPr>
      <w:rFonts w:asciiTheme="minorHAnsi" w:hAnsiTheme="minorHAnsi" w:cstheme="minorHAnsi"/>
      <w:sz w:val="18"/>
      <w:szCs w:val="18"/>
    </w:rPr>
  </w:style>
  <w:style w:type="paragraph" w:styleId="10">
    <w:name w:val="Balloon Text"/>
    <w:basedOn w:val="1"/>
    <w:link w:val="26"/>
    <w:semiHidden/>
    <w:unhideWhenUsed/>
    <w:qFormat/>
    <w:uiPriority w:val="99"/>
    <w:rPr>
      <w:sz w:val="18"/>
      <w:szCs w:val="18"/>
    </w:rPr>
  </w:style>
  <w:style w:type="paragraph" w:styleId="11">
    <w:name w:val="footer"/>
    <w:basedOn w:val="1"/>
    <w:link w:val="30"/>
    <w:qFormat/>
    <w:uiPriority w:val="99"/>
    <w:pPr>
      <w:tabs>
        <w:tab w:val="center" w:pos="4153"/>
        <w:tab w:val="right" w:pos="8306"/>
      </w:tabs>
      <w:snapToGrid w:val="0"/>
      <w:jc w:val="left"/>
    </w:pPr>
    <w:rPr>
      <w:rFonts w:ascii="Calibri" w:hAnsi="Calibri"/>
      <w:kern w:val="0"/>
      <w:sz w:val="18"/>
      <w:szCs w:val="20"/>
      <w:lang w:val="zh-CN"/>
    </w:rPr>
  </w:style>
  <w:style w:type="paragraph" w:styleId="12">
    <w:name w:val="header"/>
    <w:basedOn w:val="1"/>
    <w:link w:val="29"/>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styleId="13">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14">
    <w:name w:val="toc 4"/>
    <w:basedOn w:val="1"/>
    <w:next w:val="1"/>
    <w:unhideWhenUsed/>
    <w:qFormat/>
    <w:uiPriority w:val="39"/>
    <w:pPr>
      <w:ind w:left="630"/>
      <w:jc w:val="left"/>
    </w:pPr>
    <w:rPr>
      <w:rFonts w:asciiTheme="minorHAnsi" w:hAnsiTheme="minorHAnsi" w:cstheme="minorHAnsi"/>
      <w:sz w:val="18"/>
      <w:szCs w:val="18"/>
    </w:rPr>
  </w:style>
  <w:style w:type="paragraph" w:styleId="15">
    <w:name w:val="toc 6"/>
    <w:basedOn w:val="1"/>
    <w:next w:val="1"/>
    <w:unhideWhenUsed/>
    <w:qFormat/>
    <w:uiPriority w:val="39"/>
    <w:pPr>
      <w:ind w:left="1050"/>
      <w:jc w:val="left"/>
    </w:pPr>
    <w:rPr>
      <w:rFonts w:asciiTheme="minorHAnsi" w:hAnsiTheme="minorHAnsi" w:cstheme="minorHAnsi"/>
      <w:sz w:val="18"/>
      <w:szCs w:val="18"/>
    </w:rPr>
  </w:style>
  <w:style w:type="paragraph" w:styleId="16">
    <w:name w:val="toc 2"/>
    <w:basedOn w:val="1"/>
    <w:next w:val="1"/>
    <w:unhideWhenUsed/>
    <w:qFormat/>
    <w:uiPriority w:val="39"/>
    <w:pPr>
      <w:ind w:left="210"/>
      <w:jc w:val="left"/>
    </w:pPr>
    <w:rPr>
      <w:rFonts w:asciiTheme="minorHAnsi" w:hAnsiTheme="minorHAnsi" w:cstheme="minorHAnsi"/>
      <w:smallCaps/>
      <w:sz w:val="20"/>
      <w:szCs w:val="20"/>
    </w:rPr>
  </w:style>
  <w:style w:type="paragraph" w:styleId="17">
    <w:name w:val="toc 9"/>
    <w:basedOn w:val="1"/>
    <w:next w:val="1"/>
    <w:unhideWhenUsed/>
    <w:qFormat/>
    <w:uiPriority w:val="39"/>
    <w:pPr>
      <w:ind w:left="1680"/>
      <w:jc w:val="left"/>
    </w:pPr>
    <w:rPr>
      <w:rFonts w:asciiTheme="minorHAnsi" w:hAnsiTheme="minorHAnsi" w:cstheme="minorHAnsi"/>
      <w:sz w:val="18"/>
      <w:szCs w:val="18"/>
    </w:rPr>
  </w:style>
  <w:style w:type="character" w:styleId="20">
    <w:name w:val="Strong"/>
    <w:qFormat/>
    <w:uiPriority w:val="99"/>
    <w:rPr>
      <w:rFonts w:cs="Times New Roman"/>
      <w:b/>
    </w:rPr>
  </w:style>
  <w:style w:type="character" w:styleId="21">
    <w:name w:val="Hyperlink"/>
    <w:unhideWhenUsed/>
    <w:qFormat/>
    <w:uiPriority w:val="99"/>
    <w:rPr>
      <w:rFonts w:cs="Times New Roman"/>
      <w:color w:val="0000FF"/>
      <w:u w:val="single"/>
    </w:rPr>
  </w:style>
  <w:style w:type="character" w:customStyle="1" w:styleId="22">
    <w:name w:val="标题 1 Char"/>
    <w:link w:val="2"/>
    <w:qFormat/>
    <w:locked/>
    <w:uiPriority w:val="9"/>
    <w:rPr>
      <w:rFonts w:ascii="Times New Roman" w:hAnsi="Times New Roman" w:cs="Times New Roman"/>
      <w:b/>
      <w:bCs/>
      <w:kern w:val="44"/>
      <w:sz w:val="44"/>
      <w:szCs w:val="44"/>
    </w:rPr>
  </w:style>
  <w:style w:type="character" w:customStyle="1" w:styleId="23">
    <w:name w:val="标题 2 Char"/>
    <w:link w:val="3"/>
    <w:qFormat/>
    <w:locked/>
    <w:uiPriority w:val="9"/>
    <w:rPr>
      <w:rFonts w:ascii="Cambria" w:hAnsi="Cambria" w:eastAsia="宋体" w:cs="Times New Roman"/>
      <w:b/>
      <w:bCs/>
      <w:kern w:val="2"/>
      <w:sz w:val="32"/>
      <w:szCs w:val="32"/>
    </w:rPr>
  </w:style>
  <w:style w:type="character" w:customStyle="1" w:styleId="24">
    <w:name w:val="标题 3 Char"/>
    <w:link w:val="4"/>
    <w:qFormat/>
    <w:locked/>
    <w:uiPriority w:val="9"/>
    <w:rPr>
      <w:rFonts w:ascii="Times New Roman" w:hAnsi="Times New Roman" w:cs="Times New Roman"/>
      <w:b/>
      <w:bCs/>
      <w:kern w:val="2"/>
      <w:sz w:val="32"/>
      <w:szCs w:val="32"/>
    </w:rPr>
  </w:style>
  <w:style w:type="character" w:customStyle="1" w:styleId="25">
    <w:name w:val="Body Text Char"/>
    <w:semiHidden/>
    <w:qFormat/>
    <w:uiPriority w:val="99"/>
    <w:rPr>
      <w:rFonts w:ascii="Times New Roman" w:hAnsi="Times New Roman" w:cs="Times New Roman"/>
      <w:sz w:val="24"/>
      <w:szCs w:val="24"/>
    </w:rPr>
  </w:style>
  <w:style w:type="character" w:customStyle="1" w:styleId="26">
    <w:name w:val="批注框文本 Char"/>
    <w:link w:val="10"/>
    <w:semiHidden/>
    <w:qFormat/>
    <w:locked/>
    <w:uiPriority w:val="99"/>
    <w:rPr>
      <w:rFonts w:ascii="Times New Roman" w:hAnsi="Times New Roman" w:cs="Times New Roman"/>
      <w:kern w:val="2"/>
      <w:sz w:val="18"/>
      <w:szCs w:val="18"/>
    </w:rPr>
  </w:style>
  <w:style w:type="character" w:customStyle="1" w:styleId="27">
    <w:name w:val="Footer Char"/>
    <w:semiHidden/>
    <w:qFormat/>
    <w:uiPriority w:val="99"/>
    <w:rPr>
      <w:rFonts w:ascii="Times New Roman" w:hAnsi="Times New Roman" w:cs="Times New Roman"/>
      <w:sz w:val="18"/>
      <w:szCs w:val="18"/>
    </w:rPr>
  </w:style>
  <w:style w:type="character" w:customStyle="1" w:styleId="28">
    <w:name w:val="Header Char"/>
    <w:semiHidden/>
    <w:qFormat/>
    <w:uiPriority w:val="99"/>
    <w:rPr>
      <w:rFonts w:ascii="Times New Roman" w:hAnsi="Times New Roman" w:cs="Times New Roman"/>
      <w:sz w:val="18"/>
      <w:szCs w:val="18"/>
    </w:rPr>
  </w:style>
  <w:style w:type="character" w:customStyle="1" w:styleId="29">
    <w:name w:val="页眉 Char"/>
    <w:link w:val="12"/>
    <w:semiHidden/>
    <w:qFormat/>
    <w:locked/>
    <w:uiPriority w:val="99"/>
    <w:rPr>
      <w:sz w:val="18"/>
    </w:rPr>
  </w:style>
  <w:style w:type="character" w:customStyle="1" w:styleId="30">
    <w:name w:val="页脚 Char"/>
    <w:link w:val="11"/>
    <w:qFormat/>
    <w:locked/>
    <w:uiPriority w:val="99"/>
    <w:rPr>
      <w:sz w:val="18"/>
    </w:rPr>
  </w:style>
  <w:style w:type="character" w:customStyle="1" w:styleId="31">
    <w:name w:val="正文文本 Char"/>
    <w:link w:val="6"/>
    <w:qFormat/>
    <w:locked/>
    <w:uiPriority w:val="99"/>
    <w:rPr>
      <w:rFonts w:ascii="仿宋_GB2312" w:hAnsi="Times New Roman" w:eastAsia="仿宋_GB2312"/>
      <w:sz w:val="24"/>
    </w:rPr>
  </w:style>
  <w:style w:type="paragraph" w:customStyle="1" w:styleId="3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3">
    <w:name w:val="列出段落1"/>
    <w:basedOn w:val="1"/>
    <w:qFormat/>
    <w:uiPriority w:val="34"/>
    <w:pPr>
      <w:ind w:firstLine="420" w:firstLineChars="200"/>
    </w:pPr>
  </w:style>
  <w:style w:type="paragraph" w:customStyle="1" w:styleId="34">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5">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6">
    <w:name w:val="List Paragraph"/>
    <w:basedOn w:val="1"/>
    <w:unhideWhenUsed/>
    <w:uiPriority w:val="99"/>
    <w:pPr>
      <w:ind w:firstLine="420" w:firstLineChars="200"/>
    </w:pPr>
  </w:style>
  <w:style w:type="paragraph" w:customStyle="1" w:styleId="37">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38889;&#20013;&#38451;\Desktop\2020&#24180;&#20915;&#31639;&#25209;&#22797;&#21450;&#20844;&#24320;&#36164;&#26009;8.27\&#26032;&#24314;%20Microsoft%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8889;&#20013;&#38451;\Desktop\2020&#24180;&#20915;&#31639;&#25209;&#22797;&#21450;&#20844;&#24320;&#36164;&#26009;8.27\&#26032;&#24314;%20Microsoft%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8889;&#20013;&#38451;\Desktop\2020&#24180;&#20915;&#31639;&#25209;&#22797;&#21450;&#20844;&#24320;&#36164;&#26009;8.27\&#26032;&#24314;%20Microsoft%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38889;&#20013;&#38451;\Desktop\2020&#24180;&#20915;&#31639;&#25209;&#22797;&#21450;&#20844;&#24320;&#36164;&#26009;8.27\&#26032;&#24314;%20Microsoft%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38889;&#20013;&#38451;\Desktop\2020&#24180;&#20915;&#31639;&#25209;&#22797;&#21450;&#20844;&#24320;&#36164;&#26009;8.27\&#26032;&#24314;%20Microsoft%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38889;&#20013;&#38451;\Desktop\2020&#24180;&#20915;&#31639;&#25209;&#22797;&#21450;&#20844;&#24320;&#36164;&#26009;8.27\&#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收支对比图（万元）</c:f>
              <c:strCache>
                <c:ptCount val="1"/>
                <c:pt idx="0">
                  <c:v>收支对比图（万元）</c:v>
                </c:pt>
              </c:strCache>
            </c:strRef>
          </c:tx>
          <c:spPr>
            <a:solidFill>
              <a:schemeClr val="bg2">
                <a:lumMod val="75000"/>
              </a:schemeClr>
            </a:solidFill>
          </c:spPr>
          <c:invertIfNegative val="0"/>
          <c:dLbls>
            <c:dLbl>
              <c:idx val="0"/>
              <c:layout>
                <c:manualLayout>
                  <c:x val="0.0638888888888889"/>
                  <c:y val="-0.0972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44444444444444"/>
                  <c:y val="-0.092592592592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Sheet1!$A$1:$A$2</c:f>
              <c:strCache>
                <c:ptCount val="2"/>
                <c:pt idx="0">
                  <c:v>2019年</c:v>
                </c:pt>
                <c:pt idx="1">
                  <c:v>2020年</c:v>
                </c:pt>
              </c:strCache>
            </c:strRef>
          </c:cat>
          <c:val>
            <c:numRef>
              <c:f>Sheet1!$B$1:$B$2</c:f>
              <c:numCache>
                <c:formatCode>General</c:formatCode>
                <c:ptCount val="2"/>
                <c:pt idx="0">
                  <c:v>306.02</c:v>
                </c:pt>
                <c:pt idx="1">
                  <c:v>430.29</c:v>
                </c:pt>
              </c:numCache>
            </c:numRef>
          </c:val>
        </c:ser>
        <c:dLbls>
          <c:showLegendKey val="0"/>
          <c:showVal val="1"/>
          <c:showCatName val="0"/>
          <c:showSerName val="0"/>
          <c:showPercent val="0"/>
          <c:showBubbleSize val="0"/>
        </c:dLbls>
        <c:gapWidth val="95"/>
        <c:axId val="185092736"/>
        <c:axId val="185427456"/>
      </c:barChart>
      <c:catAx>
        <c:axId val="18509273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427456"/>
        <c:crosses val="autoZero"/>
        <c:auto val="1"/>
        <c:lblAlgn val="ctr"/>
        <c:lblOffset val="100"/>
        <c:noMultiLvlLbl val="0"/>
      </c:catAx>
      <c:valAx>
        <c:axId val="18542745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092736"/>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Sheet1!$A$21:$A$27</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Sheet1!$B$21:$B$27</c:f>
              <c:numCache>
                <c:formatCode>General</c:formatCode>
                <c:ptCount val="7"/>
                <c:pt idx="0">
                  <c:v>304.68</c:v>
                </c:pt>
                <c:pt idx="1">
                  <c:v>0</c:v>
                </c:pt>
                <c:pt idx="2">
                  <c:v>0</c:v>
                </c:pt>
                <c:pt idx="3">
                  <c:v>0</c:v>
                </c:pt>
                <c:pt idx="4">
                  <c:v>0</c:v>
                </c:pt>
                <c:pt idx="5">
                  <c:v>0</c:v>
                </c:pt>
                <c:pt idx="6">
                  <c:v>0</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支出比重图</a:t>
            </a:r>
            <a:endParaRPr lang="zh-CN" alt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Sheet1!$A$40:$A$41</c:f>
              <c:strCache>
                <c:ptCount val="2"/>
                <c:pt idx="0">
                  <c:v>基本支出</c:v>
                </c:pt>
                <c:pt idx="1">
                  <c:v>项目支出</c:v>
                </c:pt>
              </c:strCache>
            </c:strRef>
          </c:cat>
          <c:val>
            <c:numRef>
              <c:f>Sheet1!$B$40:$B$41</c:f>
              <c:numCache>
                <c:formatCode>General</c:formatCode>
                <c:ptCount val="2"/>
                <c:pt idx="0">
                  <c:v>218.07</c:v>
                </c:pt>
                <c:pt idx="1">
                  <c:v>211.18</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金额</c:f>
              <c:strCache>
                <c:ptCount val="1"/>
                <c:pt idx="0">
                  <c:v>金额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Sheet1!$A$59:$A$60</c:f>
              <c:strCache>
                <c:ptCount val="2"/>
                <c:pt idx="0">
                  <c:v>2019年财政拨款收支（万元）</c:v>
                </c:pt>
                <c:pt idx="1">
                  <c:v>2020年财政拨款收支（万元）</c:v>
                </c:pt>
              </c:strCache>
            </c:strRef>
          </c:cat>
          <c:val>
            <c:numRef>
              <c:f>Sheet1!$B$59:$B$60</c:f>
              <c:numCache>
                <c:formatCode>General</c:formatCode>
                <c:ptCount val="2"/>
                <c:pt idx="0">
                  <c:v>306.02</c:v>
                </c:pt>
                <c:pt idx="1">
                  <c:v>407.03</c:v>
                </c:pt>
              </c:numCache>
            </c:numRef>
          </c:val>
        </c:ser>
        <c:dLbls>
          <c:showLegendKey val="0"/>
          <c:showVal val="0"/>
          <c:showCatName val="0"/>
          <c:showSerName val="0"/>
          <c:showPercent val="0"/>
          <c:showBubbleSize val="0"/>
        </c:dLbls>
        <c:gapWidth val="75"/>
        <c:overlap val="40"/>
        <c:axId val="243149440"/>
        <c:axId val="245444992"/>
      </c:barChart>
      <c:catAx>
        <c:axId val="24314944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444992"/>
        <c:crosses val="autoZero"/>
        <c:auto val="1"/>
        <c:lblAlgn val="ctr"/>
        <c:lblOffset val="100"/>
        <c:noMultiLvlLbl val="0"/>
      </c:catAx>
      <c:valAx>
        <c:axId val="24544499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31494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金额</c:f>
              <c:strCache>
                <c:ptCount val="1"/>
                <c:pt idx="0">
                  <c:v>金额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Sheet1!$A$79:$A$80</c:f>
              <c:strCache>
                <c:ptCount val="2"/>
                <c:pt idx="0">
                  <c:v>2019年一般财政拨款支出（万元）</c:v>
                </c:pt>
                <c:pt idx="1">
                  <c:v>2020年一般财政拨款支出（万元）</c:v>
                </c:pt>
              </c:strCache>
            </c:strRef>
          </c:cat>
          <c:val>
            <c:numRef>
              <c:f>Sheet1!$B$79:$B$80</c:f>
              <c:numCache>
                <c:formatCode>General</c:formatCode>
                <c:ptCount val="2"/>
                <c:pt idx="0">
                  <c:v>250.9</c:v>
                </c:pt>
                <c:pt idx="1">
                  <c:v>405.98</c:v>
                </c:pt>
              </c:numCache>
            </c:numRef>
          </c:val>
        </c:ser>
        <c:dLbls>
          <c:showLegendKey val="0"/>
          <c:showVal val="0"/>
          <c:showCatName val="0"/>
          <c:showSerName val="0"/>
          <c:showPercent val="0"/>
          <c:showBubbleSize val="0"/>
        </c:dLbls>
        <c:gapWidth val="75"/>
        <c:overlap val="40"/>
        <c:axId val="245637120"/>
        <c:axId val="245638656"/>
      </c:barChart>
      <c:catAx>
        <c:axId val="24563712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638656"/>
        <c:crosses val="autoZero"/>
        <c:auto val="1"/>
        <c:lblAlgn val="ctr"/>
        <c:lblOffset val="100"/>
        <c:noMultiLvlLbl val="0"/>
      </c:catAx>
      <c:valAx>
        <c:axId val="24563865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6371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支出比重图</a:t>
            </a:r>
            <a:endParaRPr lang="zh-CN" altLang="en-US"/>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金额</c:f>
              <c:strCache>
                <c:ptCount val="1"/>
                <c:pt idx="0">
                  <c:v>金额</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Sheet1!$A$100:$A$104</c:f>
              <c:strCache>
                <c:ptCount val="5"/>
                <c:pt idx="0">
                  <c:v>节能环保支出</c:v>
                </c:pt>
                <c:pt idx="1">
                  <c:v>自然资源海洋气象等支出</c:v>
                </c:pt>
                <c:pt idx="2">
                  <c:v>社会保障和就业支出</c:v>
                </c:pt>
                <c:pt idx="3">
                  <c:v>卫生健康支出</c:v>
                </c:pt>
                <c:pt idx="4">
                  <c:v>住房保障支出</c:v>
                </c:pt>
              </c:strCache>
            </c:strRef>
          </c:cat>
          <c:val>
            <c:numRef>
              <c:f>Sheet1!$B$100:$B$104</c:f>
              <c:numCache>
                <c:formatCode>General</c:formatCode>
                <c:ptCount val="5"/>
                <c:pt idx="0">
                  <c:v>100.7</c:v>
                </c:pt>
                <c:pt idx="1">
                  <c:v>288.63</c:v>
                </c:pt>
                <c:pt idx="2">
                  <c:v>7.08</c:v>
                </c:pt>
                <c:pt idx="3">
                  <c:v>3.01</c:v>
                </c:pt>
                <c:pt idx="4">
                  <c:v>6.57</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“三公”经费支出比重图</a:t>
            </a:r>
            <a:endParaRPr lang="zh-CN" altLang="en-US"/>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Sheet1!$A$115:$A$116</c:f>
              <c:strCache>
                <c:ptCount val="2"/>
                <c:pt idx="0">
                  <c:v>公务用车购置及运行维护费支出</c:v>
                </c:pt>
                <c:pt idx="1">
                  <c:v>公务接待费支出</c:v>
                </c:pt>
              </c:strCache>
            </c:strRef>
          </c:cat>
          <c:val>
            <c:numRef>
              <c:f>Sheet1!$B$115:$B$116</c:f>
              <c:numCache>
                <c:formatCode>General</c:formatCode>
                <c:ptCount val="2"/>
                <c:pt idx="0">
                  <c:v>2.4</c:v>
                </c:pt>
                <c:pt idx="1">
                  <c:v>0.5</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5A7C3-4FC0-4EF0-B95B-1BF97204995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1860</Words>
  <Characters>10602</Characters>
  <Lines>88</Lines>
  <Paragraphs>24</Paragraphs>
  <TotalTime>81</TotalTime>
  <ScaleCrop>false</ScaleCrop>
  <LinksUpToDate>false</LinksUpToDate>
  <CharactersWithSpaces>12438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2021-09-08T03:39:00Z</dcterms:created>
  <dc:creator>曹颖</dc:creator>
  <cp:lastModifiedBy>广元市气象局文秘</cp:lastModifiedBy>
  <cp:lastPrinted>2021-09-09T01:27:00Z</cp:lastPrinted>
  <dcterms:modified xsi:type="dcterms:W3CDTF">2021-09-10T06:48:52Z</dcterms:modified>
  <dc:title>四川省***</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215085011C1542FBB3C54C6B049244F0</vt:lpwstr>
  </property>
</Properties>
</file>